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8481" w14:textId="3C855F64" w:rsidR="00C64DED" w:rsidRPr="007C23BD" w:rsidRDefault="00C64DED" w:rsidP="00C64DED">
      <w:pPr>
        <w:spacing w:after="0"/>
        <w:rPr>
          <w:rFonts w:asciiTheme="minorHAnsi" w:eastAsia="Calibri" w:hAnsiTheme="minorHAnsi" w:cstheme="minorHAnsi"/>
          <w:b/>
          <w:sz w:val="24"/>
          <w:szCs w:val="24"/>
          <w:lang w:val="en-GB"/>
        </w:rPr>
      </w:pPr>
      <w:r w:rsidRPr="007C23BD">
        <w:rPr>
          <w:rFonts w:asciiTheme="minorHAnsi" w:eastAsia="Calibri" w:hAnsiTheme="minorHAnsi" w:cstheme="minorHAnsi"/>
          <w:b/>
          <w:sz w:val="24"/>
          <w:szCs w:val="24"/>
          <w:lang w:val="en-GB"/>
        </w:rPr>
        <w:t>JCP Digest Issue number 7</w:t>
      </w:r>
      <w:r w:rsidRPr="007C23BD">
        <w:rPr>
          <w:rFonts w:asciiTheme="minorHAnsi" w:eastAsia="Calibri" w:hAnsiTheme="minorHAnsi" w:cstheme="minorHAnsi"/>
          <w:b/>
          <w:sz w:val="24"/>
          <w:szCs w:val="24"/>
          <w:lang w:val="en-GB"/>
        </w:rPr>
        <w:t>8</w:t>
      </w:r>
      <w:r w:rsidRPr="007C23BD">
        <w:rPr>
          <w:rFonts w:asciiTheme="minorHAnsi" w:eastAsia="Calibri" w:hAnsiTheme="minorHAnsi" w:cstheme="minorHAnsi"/>
          <w:b/>
          <w:sz w:val="24"/>
          <w:szCs w:val="24"/>
          <w:lang w:val="en-GB"/>
        </w:rPr>
        <w:t xml:space="preserve"> (2020:</w:t>
      </w:r>
      <w:r w:rsidRPr="007C23BD">
        <w:rPr>
          <w:rFonts w:asciiTheme="minorHAnsi" w:eastAsia="Calibri" w:hAnsiTheme="minorHAnsi" w:cstheme="minorHAnsi"/>
          <w:b/>
          <w:sz w:val="24"/>
          <w:szCs w:val="24"/>
          <w:lang w:val="en-GB"/>
        </w:rPr>
        <w:t>6</w:t>
      </w:r>
      <w:r w:rsidRPr="007C23BD">
        <w:rPr>
          <w:rFonts w:asciiTheme="minorHAnsi" w:eastAsia="Calibri" w:hAnsiTheme="minorHAnsi" w:cstheme="minorHAnsi"/>
          <w:b/>
          <w:sz w:val="24"/>
          <w:szCs w:val="24"/>
          <w:lang w:val="en-GB"/>
        </w:rPr>
        <w:t>)</w:t>
      </w:r>
    </w:p>
    <w:p w14:paraId="152F204F" w14:textId="77777777" w:rsidR="00C64DED" w:rsidRPr="007C23BD" w:rsidRDefault="00C64DED" w:rsidP="00C64DED">
      <w:pPr>
        <w:spacing w:after="0"/>
        <w:rPr>
          <w:rFonts w:asciiTheme="minorHAnsi" w:eastAsia="Calibri" w:hAnsiTheme="minorHAnsi" w:cstheme="minorHAnsi"/>
          <w:b/>
          <w:sz w:val="24"/>
          <w:szCs w:val="24"/>
          <w:lang w:val="en-GB"/>
        </w:rPr>
      </w:pPr>
    </w:p>
    <w:p w14:paraId="63F473B3" w14:textId="5BD9851F" w:rsidR="00C64DED" w:rsidRPr="007C23BD" w:rsidRDefault="00C64DED" w:rsidP="00C64DED">
      <w:pPr>
        <w:spacing w:after="0"/>
        <w:rPr>
          <w:rFonts w:asciiTheme="minorHAnsi" w:eastAsia="Calibri" w:hAnsiTheme="minorHAnsi" w:cstheme="minorHAnsi"/>
          <w:b/>
          <w:sz w:val="24"/>
          <w:szCs w:val="24"/>
          <w:lang w:val="en-GB"/>
        </w:rPr>
      </w:pPr>
      <w:r w:rsidRPr="007C23BD">
        <w:rPr>
          <w:rFonts w:asciiTheme="minorHAnsi" w:eastAsia="Calibri" w:hAnsiTheme="minorHAnsi" w:cstheme="minorHAnsi"/>
          <w:b/>
          <w:sz w:val="24"/>
          <w:szCs w:val="24"/>
          <w:lang w:val="en-GB"/>
        </w:rPr>
        <w:t xml:space="preserve">Summarised from </w:t>
      </w:r>
      <w:r w:rsidRPr="007C23BD">
        <w:rPr>
          <w:rFonts w:asciiTheme="minorHAnsi" w:eastAsia="Calibri" w:hAnsiTheme="minorHAnsi" w:cstheme="minorHAnsi"/>
          <w:b/>
          <w:i/>
          <w:iCs/>
          <w:sz w:val="24"/>
          <w:szCs w:val="24"/>
          <w:lang w:val="en-GB"/>
        </w:rPr>
        <w:t xml:space="preserve">Journal of Clinical Periodontology </w:t>
      </w:r>
      <w:r w:rsidRPr="007C23BD">
        <w:rPr>
          <w:rFonts w:asciiTheme="minorHAnsi" w:eastAsia="Calibri" w:hAnsiTheme="minorHAnsi" w:cstheme="minorHAnsi"/>
          <w:b/>
          <w:sz w:val="24"/>
          <w:szCs w:val="24"/>
          <w:lang w:val="en-GB"/>
        </w:rPr>
        <w:t xml:space="preserve">Volume 47, issue </w:t>
      </w:r>
      <w:r w:rsidRPr="007C23BD">
        <w:rPr>
          <w:rFonts w:asciiTheme="minorHAnsi" w:eastAsia="Calibri" w:hAnsiTheme="minorHAnsi" w:cstheme="minorHAnsi"/>
          <w:b/>
          <w:sz w:val="24"/>
          <w:szCs w:val="24"/>
          <w:lang w:val="en-GB"/>
        </w:rPr>
        <w:t>6</w:t>
      </w:r>
      <w:r w:rsidRPr="007C23BD">
        <w:rPr>
          <w:rFonts w:asciiTheme="minorHAnsi" w:eastAsia="Calibri" w:hAnsiTheme="minorHAnsi" w:cstheme="minorHAnsi"/>
          <w:b/>
          <w:sz w:val="24"/>
          <w:szCs w:val="24"/>
          <w:lang w:val="en-GB"/>
        </w:rPr>
        <w:t xml:space="preserve"> (</w:t>
      </w:r>
      <w:r w:rsidRPr="007C23BD">
        <w:rPr>
          <w:rFonts w:asciiTheme="minorHAnsi" w:eastAsia="Calibri" w:hAnsiTheme="minorHAnsi" w:cstheme="minorHAnsi"/>
          <w:b/>
          <w:sz w:val="24"/>
          <w:szCs w:val="24"/>
          <w:lang w:val="en-GB"/>
        </w:rPr>
        <w:t>June</w:t>
      </w:r>
      <w:r w:rsidRPr="007C23BD">
        <w:rPr>
          <w:rFonts w:asciiTheme="minorHAnsi" w:eastAsia="Calibri" w:hAnsiTheme="minorHAnsi" w:cstheme="minorHAnsi"/>
          <w:b/>
          <w:sz w:val="24"/>
          <w:szCs w:val="24"/>
          <w:lang w:val="en-GB"/>
        </w:rPr>
        <w:t xml:space="preserve"> 2020), </w:t>
      </w:r>
      <w:r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 xml:space="preserve">768-776 </w:t>
      </w:r>
    </w:p>
    <w:p w14:paraId="42D4D6B2" w14:textId="77777777" w:rsidR="00C64DED" w:rsidRPr="007C23BD" w:rsidRDefault="00C64DED" w:rsidP="00C64DED">
      <w:pPr>
        <w:spacing w:after="0"/>
        <w:rPr>
          <w:rFonts w:asciiTheme="minorHAnsi" w:eastAsia="Calibri" w:hAnsiTheme="minorHAnsi" w:cstheme="minorHAnsi"/>
          <w:sz w:val="24"/>
          <w:szCs w:val="24"/>
          <w:lang w:val="en-GB"/>
        </w:rPr>
      </w:pPr>
    </w:p>
    <w:p w14:paraId="340782A1" w14:textId="22141240" w:rsidR="00C64DED" w:rsidRPr="007C23BD" w:rsidRDefault="00C64DED" w:rsidP="00C64DE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inorEastAsia" w:hAnsiTheme="minorHAnsi" w:cstheme="minorHAnsi"/>
          <w:lang w:val="en-GB"/>
        </w:rPr>
      </w:pPr>
      <w:r w:rsidRPr="007C23BD">
        <w:rPr>
          <w:rFonts w:asciiTheme="minorHAnsi" w:eastAsia="Calibri" w:hAnsiTheme="minorHAnsi" w:cstheme="minorHAnsi"/>
          <w:lang w:val="en-GB"/>
        </w:rPr>
        <w:t xml:space="preserve">Rapporteurs: </w:t>
      </w:r>
      <w:r w:rsidRPr="007C23BD">
        <w:rPr>
          <w:rFonts w:asciiTheme="minorHAnsi" w:hAnsiTheme="minorHAnsi" w:cstheme="minorHAnsi"/>
          <w:lang w:val="en-GB" w:eastAsia="en-US"/>
        </w:rPr>
        <w:t xml:space="preserve">Naz Kurt, </w:t>
      </w:r>
      <w:proofErr w:type="spellStart"/>
      <w:r w:rsidRPr="007C23BD">
        <w:rPr>
          <w:rFonts w:asciiTheme="minorHAnsi" w:hAnsiTheme="minorHAnsi" w:cstheme="minorHAnsi"/>
          <w:lang w:val="en-GB" w:eastAsia="en-US"/>
        </w:rPr>
        <w:t>Merve</w:t>
      </w:r>
      <w:proofErr w:type="spellEnd"/>
      <w:r w:rsidRPr="007C23BD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7C23BD">
        <w:rPr>
          <w:rFonts w:asciiTheme="minorHAnsi" w:hAnsiTheme="minorHAnsi" w:cstheme="minorHAnsi"/>
          <w:lang w:val="en-GB" w:eastAsia="en-US"/>
        </w:rPr>
        <w:t>Bacgeroglu</w:t>
      </w:r>
      <w:proofErr w:type="spellEnd"/>
      <w:r w:rsidRPr="007C23BD">
        <w:rPr>
          <w:rFonts w:asciiTheme="minorHAnsi" w:hAnsiTheme="minorHAnsi" w:cstheme="minorHAnsi"/>
          <w:lang w:val="en-GB" w:eastAsia="en-US"/>
        </w:rPr>
        <w:t xml:space="preserve">, </w:t>
      </w:r>
      <w:r w:rsidR="005024C5" w:rsidRPr="007C23BD">
        <w:rPr>
          <w:rFonts w:asciiTheme="minorHAnsi" w:hAnsiTheme="minorHAnsi" w:cstheme="minorHAnsi"/>
          <w:lang w:val="en-GB" w:eastAsia="en-US"/>
        </w:rPr>
        <w:t xml:space="preserve">and </w:t>
      </w:r>
      <w:r w:rsidRPr="007C23BD">
        <w:rPr>
          <w:rFonts w:asciiTheme="minorHAnsi" w:hAnsiTheme="minorHAnsi" w:cstheme="minorHAnsi"/>
          <w:lang w:val="en-GB" w:eastAsia="en-US"/>
        </w:rPr>
        <w:t xml:space="preserve">Deniz </w:t>
      </w:r>
      <w:proofErr w:type="spellStart"/>
      <w:r w:rsidRPr="007C23BD">
        <w:rPr>
          <w:rFonts w:asciiTheme="minorHAnsi" w:hAnsiTheme="minorHAnsi" w:cstheme="minorHAnsi"/>
          <w:lang w:val="en-GB" w:eastAsia="en-US"/>
        </w:rPr>
        <w:t>Findik</w:t>
      </w:r>
      <w:proofErr w:type="spellEnd"/>
      <w:r w:rsidRPr="007C23BD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7C23BD">
        <w:rPr>
          <w:rFonts w:asciiTheme="minorHAnsi" w:hAnsiTheme="minorHAnsi" w:cstheme="minorHAnsi"/>
          <w:lang w:val="en-GB" w:eastAsia="en-US"/>
        </w:rPr>
        <w:t>Balci</w:t>
      </w:r>
      <w:proofErr w:type="spellEnd"/>
      <w:r w:rsidRPr="007C23BD">
        <w:rPr>
          <w:rFonts w:asciiTheme="minorHAnsi" w:hAnsiTheme="minorHAnsi" w:cstheme="minorHAnsi"/>
          <w:lang w:val="en-GB" w:eastAsia="en-US"/>
        </w:rPr>
        <w:t xml:space="preserve">, </w:t>
      </w:r>
      <w:r w:rsidR="005024C5" w:rsidRPr="007C23BD">
        <w:rPr>
          <w:rFonts w:asciiTheme="minorHAnsi" w:hAnsiTheme="minorHAnsi" w:cstheme="minorHAnsi"/>
          <w:lang w:val="en-GB" w:eastAsia="en-US"/>
        </w:rPr>
        <w:t xml:space="preserve">with </w:t>
      </w:r>
      <w:r w:rsidRPr="007C23BD">
        <w:rPr>
          <w:rFonts w:asciiTheme="minorHAnsi" w:hAnsiTheme="minorHAnsi" w:cstheme="minorHAnsi"/>
          <w:lang w:val="en-GB" w:eastAsia="en-US"/>
        </w:rPr>
        <w:t xml:space="preserve">Hare </w:t>
      </w:r>
      <w:proofErr w:type="spellStart"/>
      <w:r w:rsidRPr="007C23BD">
        <w:rPr>
          <w:rFonts w:asciiTheme="minorHAnsi" w:hAnsiTheme="minorHAnsi" w:cstheme="minorHAnsi"/>
          <w:lang w:val="en-GB" w:eastAsia="en-US"/>
        </w:rPr>
        <w:t>Gursoy</w:t>
      </w:r>
      <w:proofErr w:type="spellEnd"/>
      <w:r w:rsidRPr="007C23BD">
        <w:rPr>
          <w:rFonts w:asciiTheme="minorHAnsi" w:hAnsiTheme="minorHAnsi" w:cstheme="minorHAnsi"/>
          <w:lang w:val="en-GB" w:eastAsia="en-US"/>
        </w:rPr>
        <w:t xml:space="preserve"> and </w:t>
      </w:r>
      <w:proofErr w:type="spellStart"/>
      <w:r w:rsidRPr="007C23BD">
        <w:rPr>
          <w:rFonts w:asciiTheme="minorHAnsi" w:hAnsiTheme="minorHAnsi" w:cstheme="minorHAnsi"/>
          <w:lang w:val="en-GB" w:eastAsia="en-US"/>
        </w:rPr>
        <w:t>Bahar</w:t>
      </w:r>
      <w:proofErr w:type="spellEnd"/>
      <w:r w:rsidRPr="007C23BD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7C23BD">
        <w:rPr>
          <w:rFonts w:asciiTheme="minorHAnsi" w:hAnsiTheme="minorHAnsi" w:cstheme="minorHAnsi"/>
          <w:lang w:val="en-GB" w:eastAsia="en-US"/>
        </w:rPr>
        <w:t>Eren</w:t>
      </w:r>
      <w:proofErr w:type="spellEnd"/>
      <w:r w:rsidRPr="007C23BD">
        <w:rPr>
          <w:rFonts w:asciiTheme="minorHAnsi" w:hAnsiTheme="minorHAnsi" w:cstheme="minorHAnsi"/>
          <w:lang w:val="en-GB" w:eastAsia="en-US"/>
        </w:rPr>
        <w:t xml:space="preserve"> Kuru</w:t>
      </w:r>
    </w:p>
    <w:p w14:paraId="1F2B23D8" w14:textId="77777777" w:rsidR="00C64DED" w:rsidRPr="007C23BD" w:rsidRDefault="00C64DED" w:rsidP="00C64DED">
      <w:pPr>
        <w:spacing w:after="0"/>
        <w:rPr>
          <w:rFonts w:asciiTheme="minorHAnsi" w:eastAsia="Calibri" w:hAnsiTheme="minorHAnsi" w:cstheme="minorHAnsi"/>
          <w:sz w:val="24"/>
          <w:szCs w:val="24"/>
          <w:lang w:val="en-GB"/>
        </w:rPr>
      </w:pPr>
    </w:p>
    <w:p w14:paraId="550AE8A3" w14:textId="3AA4EBB8" w:rsidR="00C64DED" w:rsidRPr="007C23BD" w:rsidRDefault="00C64DED" w:rsidP="0013457A">
      <w:pPr>
        <w:tabs>
          <w:tab w:val="left" w:pos="20"/>
          <w:tab w:val="left" w:pos="240"/>
        </w:tabs>
        <w:autoSpaceDE w:val="0"/>
        <w:autoSpaceDN w:val="0"/>
        <w:adjustRightInd w:val="0"/>
        <w:spacing w:after="160" w:line="288" w:lineRule="auto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Affiliation: </w:t>
      </w:r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Postgraduate programme in periodontology, </w:t>
      </w:r>
      <w:proofErr w:type="spellStart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Yeditepe</w:t>
      </w:r>
      <w:proofErr w:type="spellEnd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University of Istanbul, Turkey</w:t>
      </w:r>
    </w:p>
    <w:p w14:paraId="1E8BA6E2" w14:textId="77777777" w:rsidR="00C64DED" w:rsidRPr="007C23BD" w:rsidRDefault="00C64DED" w:rsidP="00C64DED">
      <w:pPr>
        <w:spacing w:after="0"/>
        <w:rPr>
          <w:rFonts w:asciiTheme="minorHAnsi" w:eastAsia="Calibri" w:hAnsiTheme="minorHAnsi" w:cstheme="minorHAnsi"/>
          <w:sz w:val="24"/>
          <w:szCs w:val="24"/>
          <w:lang w:val="en-GB"/>
        </w:rPr>
      </w:pPr>
    </w:p>
    <w:p w14:paraId="56EEBE19" w14:textId="208C5966" w:rsidR="00C64DED" w:rsidRPr="00256829" w:rsidRDefault="00C64DED" w:rsidP="005024C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/>
          <w:sz w:val="32"/>
          <w:szCs w:val="32"/>
          <w:lang w:val="en-GB"/>
        </w:rPr>
      </w:pPr>
      <w:r w:rsidRPr="00256829">
        <w:rPr>
          <w:rFonts w:asciiTheme="minorHAnsi" w:eastAsia="Calibri" w:hAnsiTheme="minorHAnsi" w:cstheme="minorHAnsi"/>
          <w:b/>
          <w:sz w:val="32"/>
          <w:szCs w:val="32"/>
          <w:lang w:val="en-GB"/>
        </w:rPr>
        <w:t xml:space="preserve">Study: </w:t>
      </w:r>
      <w:r w:rsidR="005024C5" w:rsidRPr="00256829">
        <w:rPr>
          <w:rFonts w:asciiTheme="minorHAnsi" w:eastAsia="Calibri" w:hAnsiTheme="minorHAnsi" w:cstheme="minorHAnsi"/>
          <w:b/>
          <w:sz w:val="32"/>
          <w:szCs w:val="32"/>
          <w:lang w:val="en-GB"/>
        </w:rPr>
        <w:t>To regenerate or to extract? 10-year results</w:t>
      </w:r>
    </w:p>
    <w:p w14:paraId="1FFF976E" w14:textId="77777777" w:rsidR="00C64DED" w:rsidRPr="007C23BD" w:rsidRDefault="00C64DED" w:rsidP="00C64DED">
      <w:pPr>
        <w:spacing w:after="0"/>
        <w:rPr>
          <w:rFonts w:asciiTheme="minorHAnsi" w:eastAsia="Calibri" w:hAnsiTheme="minorHAnsi" w:cstheme="minorHAnsi"/>
          <w:sz w:val="24"/>
          <w:szCs w:val="24"/>
          <w:lang w:val="en-GB"/>
        </w:rPr>
      </w:pPr>
    </w:p>
    <w:p w14:paraId="00FA3A4F" w14:textId="12CFDA41" w:rsidR="005024C5" w:rsidRPr="007C23BD" w:rsidRDefault="00C64DED" w:rsidP="005024C5">
      <w:pPr>
        <w:tabs>
          <w:tab w:val="left" w:pos="20"/>
          <w:tab w:val="left" w:pos="240"/>
        </w:tabs>
        <w:autoSpaceDE w:val="0"/>
        <w:autoSpaceDN w:val="0"/>
        <w:adjustRightInd w:val="0"/>
        <w:spacing w:after="160" w:line="288" w:lineRule="auto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Authors: </w:t>
      </w:r>
      <w:proofErr w:type="spellStart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Pierpaolo</w:t>
      </w:r>
      <w:proofErr w:type="spellEnd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proofErr w:type="spellStart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Cortellini</w:t>
      </w:r>
      <w:proofErr w:type="spellEnd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, Gabrielle </w:t>
      </w:r>
      <w:proofErr w:type="spellStart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Stalpers</w:t>
      </w:r>
      <w:proofErr w:type="spellEnd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, </w:t>
      </w:r>
      <w:proofErr w:type="spellStart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Aniello</w:t>
      </w:r>
      <w:proofErr w:type="spellEnd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proofErr w:type="spellStart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Mollo</w:t>
      </w:r>
      <w:proofErr w:type="spellEnd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, Maurizio S. </w:t>
      </w:r>
      <w:proofErr w:type="spellStart"/>
      <w:r w:rsidR="005024C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Tonetti</w:t>
      </w:r>
      <w:proofErr w:type="spellEnd"/>
    </w:p>
    <w:p w14:paraId="402EFC6D" w14:textId="38126350" w:rsidR="00F74542" w:rsidRPr="007C23BD" w:rsidRDefault="00F74542" w:rsidP="00201F8E">
      <w:pPr>
        <w:tabs>
          <w:tab w:val="left" w:pos="20"/>
          <w:tab w:val="left" w:pos="240"/>
        </w:tabs>
        <w:autoSpaceDE w:val="0"/>
        <w:autoSpaceDN w:val="0"/>
        <w:adjustRightInd w:val="0"/>
        <w:spacing w:after="160" w:line="288" w:lineRule="auto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 xml:space="preserve">Background: </w:t>
      </w:r>
    </w:p>
    <w:p w14:paraId="6596B8E3" w14:textId="0BEF74B7" w:rsidR="00F74542" w:rsidRPr="007C23BD" w:rsidRDefault="00201F8E" w:rsidP="00F7454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In </w:t>
      </w:r>
      <w:r w:rsidR="005873A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patients with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stage III and IV periodontitis, p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eriodontal regenerative treatment can be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used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to improve long</w:t>
      </w:r>
      <w:r w:rsidR="00F74542" w:rsidRPr="007C23BD">
        <w:rPr>
          <w:rFonts w:ascii="Cambria Math" w:hAnsi="Cambria Math" w:cs="Cambria Math"/>
          <w:sz w:val="24"/>
          <w:szCs w:val="24"/>
          <w:lang w:val="en-GB" w:eastAsia="en-US"/>
        </w:rPr>
        <w:t>‐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term clinical outcomes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of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severely compromised </w:t>
      </w:r>
      <w:r w:rsidR="005873A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teeth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with deep vertical intrabony lesions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.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Regenerative therapy has the potential to change the prognosis of periodontally hopeless teeth.</w:t>
      </w:r>
    </w:p>
    <w:p w14:paraId="623FCDC1" w14:textId="7DB78029" w:rsidR="00F74542" w:rsidRPr="007C23BD" w:rsidRDefault="00F74542" w:rsidP="00F7454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According to </w:t>
      </w:r>
      <w:r w:rsidR="003B341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this study’s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previously reported </w:t>
      </w:r>
      <w:r w:rsidR="005873A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five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-year follow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up results</w:t>
      </w:r>
      <w:r w:rsidR="003B341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,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high attachment-level gains can be obtained in periodontally hopeless teeth</w:t>
      </w:r>
      <w:r w:rsidR="003B341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256829">
        <w:rPr>
          <w:rFonts w:asciiTheme="minorHAnsi" w:hAnsiTheme="minorHAnsi" w:cstheme="minorHAnsi"/>
          <w:sz w:val="24"/>
          <w:szCs w:val="24"/>
          <w:lang w:val="en-GB" w:eastAsia="en-US"/>
        </w:rPr>
        <w:t>through</w:t>
      </w:r>
      <w:r w:rsidR="003B341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regenerative treatment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.</w:t>
      </w:r>
    </w:p>
    <w:p w14:paraId="44C55787" w14:textId="057A79C1" w:rsidR="00F74542" w:rsidRPr="007C23BD" w:rsidRDefault="00F74542" w:rsidP="00F7454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Periodontal regeneration can be a suitable alternative to tooth extraction and replacement with either implant</w:t>
      </w:r>
      <w:r w:rsidR="002C7AB8">
        <w:rPr>
          <w:rFonts w:asciiTheme="minorHAnsi" w:hAnsiTheme="minorHAnsi" w:cstheme="minorHAnsi"/>
          <w:sz w:val="24"/>
          <w:szCs w:val="24"/>
          <w:lang w:val="en-GB" w:eastAsia="en-US"/>
        </w:rPr>
        <w:t>s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or tooth-supported prosthes</w:t>
      </w:r>
      <w:r w:rsidR="002C7AB8">
        <w:rPr>
          <w:rFonts w:asciiTheme="minorHAnsi" w:hAnsiTheme="minorHAnsi" w:cstheme="minorHAnsi"/>
          <w:sz w:val="24"/>
          <w:szCs w:val="24"/>
          <w:lang w:val="en-GB" w:eastAsia="en-US"/>
        </w:rPr>
        <w:t>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s in teeth compromised by extremely severe attachment loss </w:t>
      </w:r>
      <w:r w:rsidR="0098536B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up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to or beyond the apex.</w:t>
      </w:r>
    </w:p>
    <w:p w14:paraId="61BBBDE4" w14:textId="36B3CFD1" w:rsidR="00F74542" w:rsidRPr="007C23BD" w:rsidRDefault="00F74542" w:rsidP="00F7454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Regenerative therapy’s prognosis and stability on severely compromised teeth and its cost-effectiveness </w:t>
      </w:r>
      <w:r w:rsidR="003C0264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are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unclear compared with extraction and tooth replacement. </w:t>
      </w:r>
    </w:p>
    <w:p w14:paraId="7A70CA96" w14:textId="2B385D91" w:rsidR="00F74542" w:rsidRPr="007C23BD" w:rsidRDefault="00F74542" w:rsidP="00F7454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There is no evidence about the mean cumulative cost of recurrences and the total cost of treatment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when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regeneration of hopeless teeth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is compared with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their replacement. </w:t>
      </w:r>
    </w:p>
    <w:p w14:paraId="5418D8DF" w14:textId="0F4E8327" w:rsidR="00F74542" w:rsidRPr="007C23BD" w:rsidRDefault="00F74542" w:rsidP="00F7454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Aim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: </w:t>
      </w:r>
    </w:p>
    <w:p w14:paraId="7BEC54B5" w14:textId="17D6950F" w:rsidR="000238E6" w:rsidRPr="002C7AB8" w:rsidRDefault="00F74542" w:rsidP="002C7AB8">
      <w:pPr>
        <w:tabs>
          <w:tab w:val="left" w:pos="20"/>
          <w:tab w:val="left" w:pos="3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</w:t>
      </w:r>
      <w:r w:rsidR="003C0264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is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study </w:t>
      </w:r>
      <w:r w:rsidR="003C0264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aimed</w:t>
      </w:r>
      <w:r w:rsidR="003C0264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to compare </w:t>
      </w:r>
      <w:r w:rsidR="00222700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regenerative treatment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with extraction and tooth replacement in </w:t>
      </w:r>
      <w:r w:rsidR="00222700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cases of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teeth with hopeless periodontal prognosis in terms of clinical, patient-centred</w:t>
      </w:r>
      <w:r w:rsidR="00222700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,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and economic outcomes </w:t>
      </w:r>
      <w:r w:rsidR="0046564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over</w:t>
      </w:r>
      <w:r w:rsidR="0046564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10-year period. The potential of regeneration </w:t>
      </w:r>
      <w:r w:rsidR="005F5A54">
        <w:rPr>
          <w:rFonts w:asciiTheme="minorHAnsi" w:hAnsiTheme="minorHAnsi" w:cstheme="minorHAnsi"/>
          <w:sz w:val="24"/>
          <w:szCs w:val="24"/>
          <w:lang w:val="en-GB" w:eastAsia="en-US"/>
        </w:rPr>
        <w:t>for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changing the prognosis of hopeless teeth was also evaluated.</w:t>
      </w:r>
    </w:p>
    <w:p w14:paraId="5C532964" w14:textId="77777777" w:rsidR="000238E6" w:rsidRPr="007C23BD" w:rsidRDefault="000238E6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</w:p>
    <w:p w14:paraId="13E25FFD" w14:textId="77777777" w:rsidR="000238E6" w:rsidRPr="007C23BD" w:rsidRDefault="000238E6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</w:p>
    <w:p w14:paraId="410FA991" w14:textId="3AE17C89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 xml:space="preserve">Material </w:t>
      </w:r>
      <w:r w:rsidR="00465647"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&amp;</w:t>
      </w:r>
      <w:r w:rsidR="00465647"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 xml:space="preserve"> </w:t>
      </w:r>
      <w:r w:rsidR="00C03876"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m</w:t>
      </w:r>
      <w:r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ethods</w:t>
      </w:r>
      <w:r w:rsidR="00201F8E"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:</w:t>
      </w:r>
    </w:p>
    <w:p w14:paraId="52F5C2EE" w14:textId="77777777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3943F8AE" w14:textId="2F192966" w:rsidR="00F74542" w:rsidRPr="007C23BD" w:rsidRDefault="00F74542" w:rsidP="007169A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This 10-year randomi</w:t>
      </w:r>
      <w:r w:rsidR="00947C56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ed controlled clinical study started in 1998</w:t>
      </w:r>
      <w:r w:rsidR="001951B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, including </w:t>
      </w:r>
    </w:p>
    <w:p w14:paraId="732E8DB3" w14:textId="10F18131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lastRenderedPageBreak/>
        <w:t>50 subjects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with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stage III or stage IV periodontitis. Periodontal regeneration of hopeless t</w:t>
      </w:r>
      <w:r w:rsidR="00B22BF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was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compared with extraction and replacement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.</w:t>
      </w:r>
      <w:r w:rsidR="005F5A54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Subjects were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randomly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assigned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to either 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the test group (periodontal regeneration) or the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control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group (extraction and replacement of hopeless tooth)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.</w:t>
      </w:r>
    </w:p>
    <w:p w14:paraId="1679E22D" w14:textId="77777777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5CE688FA" w14:textId="21111606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Patients in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the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test group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were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treated by periodontal regenerative microsurgery including papilla</w:t>
      </w:r>
      <w:r w:rsidR="008E680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preservation flaps </w:t>
      </w:r>
      <w:r w:rsidR="008E680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and the application of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regenerative material. In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the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control group,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tee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were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extracted and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replaced </w:t>
      </w:r>
      <w:r w:rsidR="00B22BF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with </w:t>
      </w:r>
      <w:r w:rsidR="008E680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either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implant</w:t>
      </w:r>
      <w:r w:rsidR="00B22BF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or tooth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supported fixed prosthe</w:t>
      </w:r>
      <w:r w:rsidR="00B22BF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ses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.</w:t>
      </w:r>
    </w:p>
    <w:p w14:paraId="1321B43E" w14:textId="77777777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0F0C64B3" w14:textId="0905FB08" w:rsidR="00F74542" w:rsidRPr="007C23BD" w:rsidRDefault="00201F8E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All patients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were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placed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in a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supportive periodontal care program</w:t>
      </w:r>
      <w:r w:rsidR="008E680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me with r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ecall interval</w:t>
      </w:r>
      <w:r w:rsidR="00B22BF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s every </w:t>
      </w:r>
      <w:r w:rsidR="00947C56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three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months</w:t>
      </w:r>
      <w:r w:rsidR="008E680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and yearly examinations.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Recurrence and survival analys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s were </w:t>
      </w:r>
      <w:r w:rsidR="008E04F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performed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.</w:t>
      </w:r>
    </w:p>
    <w:p w14:paraId="697FE704" w14:textId="77777777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6ACE62EF" w14:textId="07820430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The primary outcome was the retention of t</w:t>
      </w:r>
      <w:r w:rsidR="001D504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 or t</w:t>
      </w:r>
      <w:r w:rsidR="001D504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 replacement</w:t>
      </w:r>
      <w:r w:rsidR="001D504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.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Secondary outcomes were periodontal parameter</w:t>
      </w:r>
      <w:r w:rsidR="001D504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s,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technical or biological complications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at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periodontally treated teeth or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at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abutment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of tooth or implant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supported bridges</w:t>
      </w:r>
      <w:r w:rsidR="001D504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,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and health</w:t>
      </w:r>
      <w:r w:rsidR="001D504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economic measures.</w:t>
      </w:r>
    </w:p>
    <w:p w14:paraId="0AB66CE7" w14:textId="77777777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2134A3A3" w14:textId="3A9D4876" w:rsidR="00371AE4" w:rsidRPr="007C23BD" w:rsidRDefault="00F74542" w:rsidP="00400C3F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Patient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reported outcomes w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ere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based on patient preference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regarding the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treatment of compromised t</w:t>
      </w:r>
      <w:r w:rsidR="001D504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.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The evaluation was done </w:t>
      </w:r>
      <w:r w:rsidR="00165C45">
        <w:rPr>
          <w:rFonts w:asciiTheme="minorHAnsi" w:hAnsiTheme="minorHAnsi" w:cstheme="minorHAnsi"/>
          <w:sz w:val="24"/>
          <w:szCs w:val="24"/>
          <w:lang w:val="en-GB" w:eastAsia="en-US"/>
        </w:rPr>
        <w:t>using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the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OHIP-14</w:t>
      </w:r>
      <w:r w:rsidR="00400C3F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(Oral Health Impact Profile-14)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questionnaire. </w:t>
      </w:r>
    </w:p>
    <w:p w14:paraId="06E96926" w14:textId="77777777" w:rsidR="00371AE4" w:rsidRPr="007C23BD" w:rsidRDefault="00371AE4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</w:p>
    <w:p w14:paraId="766688A2" w14:textId="4BA596E0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Results</w:t>
      </w:r>
      <w:r w:rsidR="00201F8E"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:</w:t>
      </w:r>
    </w:p>
    <w:p w14:paraId="7CF8E0ED" w14:textId="77777777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50DC3E2D" w14:textId="7A064FEC" w:rsidR="00F74542" w:rsidRPr="007C23BD" w:rsidRDefault="005E260D" w:rsidP="0013457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10-year survival rate of r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egenerated teeth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was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88</w:t>
      </w:r>
      <w:r w:rsidR="00307E6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%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and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implant or tooth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supported fixed prosthes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had a survival rate of</w:t>
      </w:r>
      <w:r w:rsidR="00307E6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100</w:t>
      </w:r>
      <w:r w:rsidR="00307E6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%</w:t>
      </w:r>
      <w:r w:rsidR="009B7DF5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. 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C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omplication-free survival time was </w:t>
      </w:r>
      <w:r w:rsidR="007357A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 minimum of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6.7 years for the test group and </w:t>
      </w:r>
      <w:r w:rsidR="007357A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of</w:t>
      </w:r>
      <w:r w:rsidR="007357A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7.3 years for the control group</w:t>
      </w:r>
      <w:r w:rsidR="007357A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,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with a confidence interval of 95</w:t>
      </w:r>
      <w:r w:rsidR="00307E6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%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. </w:t>
      </w:r>
      <w:r w:rsidR="00400C3F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No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statistically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significant difference</w:t>
      </w:r>
      <w:r w:rsidR="00400C3F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 were detected</w:t>
      </w:r>
      <w:r w:rsidR="00307E61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between the groups.</w:t>
      </w:r>
    </w:p>
    <w:p w14:paraId="2C4A1DF7" w14:textId="77777777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</w:p>
    <w:p w14:paraId="5FEB2341" w14:textId="76A99D35" w:rsidR="00837D88" w:rsidRPr="007C23BD" w:rsidRDefault="00F74542" w:rsidP="007357A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Recurrence analysis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was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used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to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quantify the cost over time and to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enable the presentation of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plural events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related to the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same subject</w:t>
      </w:r>
      <w:r w:rsidR="00837D88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and thereby avoid bias.</w:t>
      </w:r>
    </w:p>
    <w:p w14:paraId="4FE294A8" w14:textId="77777777" w:rsidR="00837D88" w:rsidRPr="007C23BD" w:rsidRDefault="00837D88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32E061EE" w14:textId="456E11EC" w:rsidR="00F74542" w:rsidRPr="007C23BD" w:rsidRDefault="00837D88" w:rsidP="0013457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Over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the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10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year period, the total cost of treatment for the test group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was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considerably lower than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0C53B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that for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the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control group. </w:t>
      </w:r>
      <w:r w:rsidR="000C53B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R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egenerati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ve treatment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had a higher </w:t>
      </w:r>
      <w:r w:rsidR="000C53B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initial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cost</w:t>
      </w:r>
      <w:r w:rsidR="00400C3F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,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0C53B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but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extraction and replacement cost more in the 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following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years.</w:t>
      </w:r>
    </w:p>
    <w:p w14:paraId="09772D65" w14:textId="77777777" w:rsidR="007169A0" w:rsidRPr="007C23BD" w:rsidRDefault="007169A0" w:rsidP="007169A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3DDC4E3F" w14:textId="0CC6E1B6" w:rsidR="005E260D" w:rsidRPr="007C23BD" w:rsidRDefault="00F74542" w:rsidP="0013457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In the test group, the residual probing pocket depth (PPD) 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averaged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3.4</w:t>
      </w:r>
      <w:r w:rsidR="00A5237B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mm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± 0.8mm and the clinical attachment level (CAL) gain 7.3</w:t>
      </w:r>
      <w:r w:rsidR="00A5237B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mm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± 2.3</w:t>
      </w:r>
      <w:r w:rsidR="00A5237B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.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mm. At </w:t>
      </w:r>
      <w:r w:rsidR="00A5237B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one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-, </w:t>
      </w:r>
      <w:r w:rsidR="00A5237B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five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-, </w:t>
      </w:r>
      <w:r w:rsidR="00A5237B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and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10-year follow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up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there were no differences 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regarding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CAL gain or residual PPD 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compared with </w:t>
      </w:r>
      <w:proofErr w:type="gramStart"/>
      <w:r w:rsidR="000D5C14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one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year</w:t>
      </w:r>
      <w:proofErr w:type="gramEnd"/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post-operati</w:t>
      </w:r>
      <w:r w:rsidR="001C651D">
        <w:rPr>
          <w:rFonts w:asciiTheme="minorHAnsi" w:hAnsiTheme="minorHAnsi" w:cstheme="minorHAnsi"/>
          <w:sz w:val="24"/>
          <w:szCs w:val="24"/>
          <w:lang w:val="en-GB" w:eastAsia="en-US"/>
        </w:rPr>
        <w:t>on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. This indicated that the stability was good in successful cases. </w:t>
      </w:r>
    </w:p>
    <w:p w14:paraId="238F245D" w14:textId="77777777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4572C0C7" w14:textId="296A7378" w:rsidR="00F74542" w:rsidRPr="007C23BD" w:rsidRDefault="000D5C14" w:rsidP="0013457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One year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after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treatment, there were improvements for both group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in terms of patient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reported outcomes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compared with their OHIP-14 scores at baseline. The level of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improvemen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 was higher for the regeneration group. Treatment satisfaction was high in both groups. A significant decrease regarding patient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lastRenderedPageBreak/>
        <w:t xml:space="preserve">concerns </w:t>
      </w:r>
      <w:r w:rsidR="000C4486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about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masticatory function and aesthetics was reported </w:t>
      </w:r>
      <w:r w:rsidR="00C77BF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one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year after treatment and 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the</w:t>
      </w:r>
      <w:r w:rsidR="000C4486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se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results were maintained through the 10-year follow-up period</w:t>
      </w:r>
      <w:r w:rsidR="00400C3F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.</w:t>
      </w:r>
    </w:p>
    <w:p w14:paraId="5E5A6696" w14:textId="77777777" w:rsidR="00F74542" w:rsidRPr="007C23BD" w:rsidRDefault="00F74542" w:rsidP="00F7454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23ABF1AA" w14:textId="77777777" w:rsidR="00F74542" w:rsidRPr="007C23BD" w:rsidRDefault="00F74542" w:rsidP="00F7454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2BA94BFD" w14:textId="77777777" w:rsidR="00371AE4" w:rsidRPr="007C23BD" w:rsidRDefault="00371AE4" w:rsidP="00F7454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noProof/>
          <w:sz w:val="24"/>
          <w:szCs w:val="24"/>
          <w:lang w:val="en-GB" w:eastAsia="en-US"/>
        </w:rPr>
        <w:drawing>
          <wp:inline distT="0" distB="0" distL="0" distR="0" wp14:anchorId="460F2AAD" wp14:editId="6B12F682">
            <wp:extent cx="4626864" cy="2648734"/>
            <wp:effectExtent l="0" t="0" r="0" b="5715"/>
            <wp:docPr id="1" name="Resim 1" descr="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ekran görüntüsü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0161" cy="266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2B943" w14:textId="550E9650" w:rsidR="00F74542" w:rsidRPr="007C23BD" w:rsidRDefault="00F74542" w:rsidP="00F7454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Limitations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:</w:t>
      </w:r>
    </w:p>
    <w:p w14:paraId="646A0326" w14:textId="44F67E64" w:rsidR="00F74542" w:rsidRPr="007C23BD" w:rsidRDefault="00F74542" w:rsidP="0013457A">
      <w:pPr>
        <w:pStyle w:val="Prrafodelista"/>
        <w:numPr>
          <w:ilvl w:val="0"/>
          <w:numId w:val="20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The test group’s OHIP-14 </w:t>
      </w:r>
      <w:r w:rsidR="00823875">
        <w:rPr>
          <w:rFonts w:asciiTheme="minorHAnsi" w:hAnsiTheme="minorHAnsi" w:cstheme="minorHAnsi"/>
          <w:sz w:val="24"/>
          <w:szCs w:val="24"/>
          <w:lang w:val="en-GB" w:eastAsia="en-US"/>
        </w:rPr>
        <w:t>q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uestionnaire score improvements were unexpectedly </w:t>
      </w:r>
      <w:r w:rsidR="0013457A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good,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and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the results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need to be confirmed.</w:t>
      </w:r>
    </w:p>
    <w:p w14:paraId="0C2DAC24" w14:textId="1509E0FE" w:rsidR="00F74542" w:rsidRPr="007C23BD" w:rsidRDefault="00F74542" w:rsidP="0013457A">
      <w:pPr>
        <w:pStyle w:val="Prrafodelista"/>
        <w:numPr>
          <w:ilvl w:val="0"/>
          <w:numId w:val="20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There might be a variation between the groups in terms of systemic diseases, genetics (the effect of the familial tendency for periodontal disease), </w:t>
      </w:r>
      <w:r w:rsidR="0013457A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and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environmental and lifestyle factors.</w:t>
      </w:r>
    </w:p>
    <w:p w14:paraId="4F318DE2" w14:textId="49A724AC" w:rsidR="00F74542" w:rsidRPr="007C23BD" w:rsidRDefault="00F74542" w:rsidP="0013457A">
      <w:pPr>
        <w:pStyle w:val="Prrafodelista"/>
        <w:numPr>
          <w:ilvl w:val="0"/>
          <w:numId w:val="20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All cases in this study were characteri</w:t>
      </w:r>
      <w:r w:rsidR="0013457A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ed by the presence of good peaks of attachment/bone on the neighbo</w:t>
      </w:r>
      <w:r w:rsidR="0013457A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u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r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ing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teeth. Therefore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,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the outcomes can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n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ot be generali</w:t>
      </w:r>
      <w:r w:rsidR="0013457A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s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ed to cases without this specific morphology.</w:t>
      </w:r>
    </w:p>
    <w:p w14:paraId="05136B78" w14:textId="56551B79" w:rsidR="00371AE4" w:rsidRPr="007C23BD" w:rsidRDefault="0013457A" w:rsidP="0013457A">
      <w:pPr>
        <w:pStyle w:val="Prrafodelista"/>
        <w:numPr>
          <w:ilvl w:val="0"/>
          <w:numId w:val="20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dditional studies must be performed by different clinicians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on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intrabony defects with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this level of severit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y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to confirm the data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.</w:t>
      </w:r>
    </w:p>
    <w:p w14:paraId="11B63055" w14:textId="5333117A" w:rsidR="00F74542" w:rsidRPr="007C23BD" w:rsidRDefault="00F74542" w:rsidP="00F7454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 xml:space="preserve">Conclusions &amp; </w:t>
      </w:r>
      <w:r w:rsidR="0013457A"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i</w:t>
      </w:r>
      <w:r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mpact</w:t>
      </w:r>
      <w:r w:rsidR="00201F8E" w:rsidRPr="007C23BD">
        <w:rPr>
          <w:rFonts w:asciiTheme="minorHAnsi" w:hAnsiTheme="minorHAnsi" w:cstheme="minorHAnsi"/>
          <w:b/>
          <w:bCs/>
          <w:sz w:val="24"/>
          <w:szCs w:val="24"/>
          <w:lang w:val="en-GB" w:eastAsia="en-US"/>
        </w:rPr>
        <w:t>:</w:t>
      </w:r>
    </w:p>
    <w:p w14:paraId="64E1AC63" w14:textId="77777777" w:rsidR="003E77CD" w:rsidRPr="007C23BD" w:rsidRDefault="00F74542" w:rsidP="003E77CD">
      <w:pPr>
        <w:pStyle w:val="Prrafodelista"/>
        <w:numPr>
          <w:ilvl w:val="0"/>
          <w:numId w:val="23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Periodontal regeneration is a clinically suitable and less costly alternative to tooth extraction and 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prosthetic rehabilitation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for teeth compromised by extremely severe attachment loss </w:t>
      </w:r>
      <w:r w:rsidR="003E77C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up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to or beyond the apex.</w:t>
      </w:r>
    </w:p>
    <w:p w14:paraId="0632F2CB" w14:textId="77777777" w:rsidR="00933D12" w:rsidRPr="007C23BD" w:rsidRDefault="00F74542" w:rsidP="00933D12">
      <w:pPr>
        <w:pStyle w:val="Prrafodelista"/>
        <w:numPr>
          <w:ilvl w:val="0"/>
          <w:numId w:val="23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Regenerative periodontal therapy improves the prognosis of hopeless teeth and preserves compromised teeth for the long term</w:t>
      </w:r>
      <w:r w:rsidR="00933D1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,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with </w:t>
      </w:r>
      <w:r w:rsidR="00201F8E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clinically stable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periodontal parameters.</w:t>
      </w:r>
    </w:p>
    <w:p w14:paraId="61D34BF3" w14:textId="77777777" w:rsidR="00933D12" w:rsidRPr="007C23BD" w:rsidRDefault="00F74542" w:rsidP="00933D12">
      <w:pPr>
        <w:pStyle w:val="Prrafodelista"/>
        <w:numPr>
          <w:ilvl w:val="0"/>
          <w:numId w:val="23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Both regeneration and replacement treatments improve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oral</w:t>
      </w:r>
      <w:r w:rsidR="00933D1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health</w:t>
      </w:r>
      <w:r w:rsidR="00933D1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-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related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quality</w:t>
      </w:r>
      <w:r w:rsidR="00933D1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of</w:t>
      </w:r>
      <w:r w:rsidR="00933D1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life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and reduce patient concerns.</w:t>
      </w:r>
    </w:p>
    <w:p w14:paraId="050544AB" w14:textId="77777777" w:rsidR="00F10A1F" w:rsidRPr="007C23BD" w:rsidRDefault="00F74542" w:rsidP="00F10A1F">
      <w:pPr>
        <w:pStyle w:val="Prrafodelista"/>
        <w:numPr>
          <w:ilvl w:val="0"/>
          <w:numId w:val="23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Although regenerati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ve treatment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has many previously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prove</w:t>
      </w:r>
      <w:r w:rsidR="00F10A1F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n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benefits, its extensive application in </w:t>
      </w:r>
      <w:r w:rsidR="00F10A1F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the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most difficult cases may be </w:t>
      </w:r>
      <w:r w:rsidR="00964E27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restricted </w:t>
      </w:r>
      <w:r w:rsidR="00F10A1F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because of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the complexity of therapy and </w:t>
      </w:r>
      <w:r w:rsidR="00F10A1F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the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importance of case selection.</w:t>
      </w:r>
    </w:p>
    <w:p w14:paraId="388CBFF3" w14:textId="77777777" w:rsidR="00F10A1F" w:rsidRPr="007C23BD" w:rsidRDefault="007C519D" w:rsidP="00F10A1F">
      <w:pPr>
        <w:pStyle w:val="Prrafodelista"/>
        <w:numPr>
          <w:ilvl w:val="0"/>
          <w:numId w:val="23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The r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ecurrence analysis used in this study can be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 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useful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tool</w:t>
      </w:r>
      <w:r w:rsidR="00F74542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for future studies.</w:t>
      </w:r>
    </w:p>
    <w:p w14:paraId="6CF62A29" w14:textId="1FE4970D" w:rsidR="005E260D" w:rsidRPr="007C23BD" w:rsidRDefault="00F74542" w:rsidP="00F10A1F">
      <w:pPr>
        <w:pStyle w:val="Prrafodelista"/>
        <w:numPr>
          <w:ilvl w:val="0"/>
          <w:numId w:val="23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lastRenderedPageBreak/>
        <w:t xml:space="preserve">When treating stage III and IV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periodontitis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patients,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periodontal regeneration can be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the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first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choice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of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treatment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for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severe cases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where the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teeth 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are </w:t>
      </w:r>
      <w:r w:rsidRPr="007C23BD">
        <w:rPr>
          <w:rFonts w:asciiTheme="minorHAnsi" w:hAnsiTheme="minorHAnsi" w:cstheme="minorHAnsi"/>
          <w:sz w:val="24"/>
          <w:szCs w:val="24"/>
          <w:lang w:val="en-GB" w:eastAsia="en-US"/>
        </w:rPr>
        <w:t>compromised by deep intrabony defects</w:t>
      </w:r>
      <w:r w:rsidR="007C519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, </w:t>
      </w:r>
      <w:r w:rsidR="00537C63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as</w:t>
      </w:r>
      <w:r w:rsidR="007C519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the regenerative approach has economic advantages and patients are likely to prefer tooth retention</w:t>
      </w:r>
      <w:r w:rsidR="00537C63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to </w:t>
      </w:r>
      <w:r w:rsidR="007C519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>extraction and prosthetic rehabilitation.</w:t>
      </w:r>
      <w:r w:rsidR="005E260D" w:rsidRPr="007C23BD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</w:p>
    <w:p w14:paraId="2C9D21E0" w14:textId="77777777" w:rsidR="005024C5" w:rsidRPr="007C23BD" w:rsidRDefault="005024C5" w:rsidP="005024C5">
      <w:pPr>
        <w:spacing w:after="0"/>
        <w:rPr>
          <w:rFonts w:asciiTheme="minorHAnsi" w:eastAsia="Calibri" w:hAnsiTheme="minorHAnsi" w:cstheme="minorHAnsi"/>
          <w:b/>
          <w:sz w:val="24"/>
          <w:szCs w:val="24"/>
          <w:lang w:val="en-GB"/>
        </w:rPr>
      </w:pPr>
    </w:p>
    <w:p w14:paraId="05CB914C" w14:textId="15F2E09B" w:rsidR="00141353" w:rsidRPr="007C23BD" w:rsidRDefault="00141353" w:rsidP="00141353">
      <w:pPr>
        <w:pStyle w:val="Pa1"/>
        <w:rPr>
          <w:rStyle w:val="A7"/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7C23BD">
        <w:rPr>
          <w:rStyle w:val="A7"/>
          <w:rFonts w:asciiTheme="minorHAnsi" w:hAnsiTheme="minorHAnsi" w:cstheme="minorHAnsi"/>
          <w:color w:val="auto"/>
          <w:sz w:val="24"/>
          <w:szCs w:val="24"/>
          <w:lang w:val="en-GB"/>
        </w:rPr>
        <w:t>JCP Digest 7</w:t>
      </w:r>
      <w:r w:rsidRPr="007C23BD">
        <w:rPr>
          <w:rStyle w:val="A7"/>
          <w:rFonts w:asciiTheme="minorHAnsi" w:hAnsiTheme="minorHAnsi" w:cstheme="minorHAnsi"/>
          <w:color w:val="auto"/>
          <w:sz w:val="24"/>
          <w:szCs w:val="24"/>
          <w:lang w:val="en-GB"/>
        </w:rPr>
        <w:t>8</w:t>
      </w:r>
      <w:r w:rsidRPr="007C23BD">
        <w:rPr>
          <w:rStyle w:val="A7"/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published in </w:t>
      </w:r>
      <w:r w:rsidRPr="007C23BD">
        <w:rPr>
          <w:rStyle w:val="A7"/>
          <w:rFonts w:asciiTheme="minorHAnsi" w:hAnsiTheme="minorHAnsi" w:cstheme="minorHAnsi"/>
          <w:color w:val="auto"/>
          <w:sz w:val="24"/>
          <w:szCs w:val="24"/>
          <w:lang w:val="en-GB"/>
        </w:rPr>
        <w:t>October</w:t>
      </w:r>
      <w:r w:rsidRPr="007C23BD">
        <w:rPr>
          <w:rStyle w:val="A7"/>
          <w:rFonts w:asciiTheme="minorHAnsi" w:hAnsiTheme="minorHAnsi" w:cstheme="minorHAnsi"/>
          <w:color w:val="auto"/>
          <w:sz w:val="24"/>
          <w:szCs w:val="24"/>
          <w:lang w:val="en-GB"/>
        </w:rPr>
        <w:t xml:space="preserve"> 2020, is a summary of the article ‘</w:t>
      </w:r>
      <w:r w:rsidR="00426D8A" w:rsidRPr="007C23BD">
        <w:rPr>
          <w:rStyle w:val="A7"/>
          <w:rFonts w:asciiTheme="minorHAnsi" w:hAnsiTheme="minorHAnsi" w:cstheme="minorHAnsi"/>
          <w:color w:val="auto"/>
          <w:sz w:val="24"/>
          <w:szCs w:val="24"/>
          <w:lang w:val="en-GB"/>
        </w:rPr>
        <w:t>Promising long-term implant survival of TSFE without graft in reduced residual bone heights.’</w:t>
      </w:r>
      <w:r w:rsidRPr="007C23BD">
        <w:rPr>
          <w:rFonts w:asciiTheme="minorHAnsi" w:hAnsiTheme="minorHAnsi" w:cstheme="minorHAnsi"/>
          <w:lang w:val="en-GB"/>
        </w:rPr>
        <w:t xml:space="preserve"> </w:t>
      </w:r>
      <w:r w:rsidRPr="00C90201">
        <w:rPr>
          <w:rStyle w:val="A7"/>
          <w:rFonts w:asciiTheme="minorHAnsi" w:hAnsiTheme="minorHAnsi" w:cstheme="minorHAnsi"/>
          <w:i/>
          <w:iCs/>
          <w:color w:val="auto"/>
          <w:sz w:val="24"/>
          <w:szCs w:val="24"/>
          <w:lang w:val="en-GB"/>
        </w:rPr>
        <w:t xml:space="preserve">J Clin </w:t>
      </w:r>
      <w:proofErr w:type="spellStart"/>
      <w:r w:rsidRPr="00C90201">
        <w:rPr>
          <w:rStyle w:val="A7"/>
          <w:rFonts w:asciiTheme="minorHAnsi" w:hAnsiTheme="minorHAnsi" w:cstheme="minorHAnsi"/>
          <w:i/>
          <w:iCs/>
          <w:color w:val="auto"/>
          <w:sz w:val="24"/>
          <w:szCs w:val="24"/>
          <w:lang w:val="en-GB"/>
        </w:rPr>
        <w:t>Periodontol</w:t>
      </w:r>
      <w:proofErr w:type="spellEnd"/>
      <w:r w:rsidRPr="007C23BD">
        <w:rPr>
          <w:rStyle w:val="A7"/>
          <w:rFonts w:asciiTheme="minorHAnsi" w:hAnsiTheme="minorHAnsi" w:cstheme="minorHAnsi"/>
          <w:color w:val="auto"/>
          <w:sz w:val="24"/>
          <w:szCs w:val="24"/>
          <w:lang w:val="en-GB"/>
        </w:rPr>
        <w:t xml:space="preserve">. 2020; </w:t>
      </w:r>
      <w:r w:rsidRPr="007C23BD">
        <w:rPr>
          <w:rFonts w:asciiTheme="minorHAnsi" w:eastAsia="Calibri" w:hAnsiTheme="minorHAnsi" w:cstheme="minorHAnsi"/>
          <w:lang w:val="en-GB"/>
        </w:rPr>
        <w:t>47 (</w:t>
      </w:r>
      <w:r w:rsidR="00BB1BFC" w:rsidRPr="007C23BD">
        <w:rPr>
          <w:rFonts w:asciiTheme="minorHAnsi" w:eastAsia="Calibri" w:hAnsiTheme="minorHAnsi" w:cstheme="minorHAnsi"/>
          <w:lang w:val="en-GB"/>
        </w:rPr>
        <w:t>6</w:t>
      </w:r>
      <w:r w:rsidRPr="007C23BD">
        <w:rPr>
          <w:rFonts w:asciiTheme="minorHAnsi" w:eastAsia="Calibri" w:hAnsiTheme="minorHAnsi" w:cstheme="minorHAnsi"/>
          <w:lang w:val="en-GB"/>
        </w:rPr>
        <w:t xml:space="preserve">), </w:t>
      </w:r>
      <w:r w:rsidR="00BB1BFC" w:rsidRPr="007C23BD">
        <w:rPr>
          <w:rFonts w:asciiTheme="minorHAnsi" w:eastAsia="Calibri" w:hAnsiTheme="minorHAnsi" w:cstheme="minorHAnsi"/>
          <w:lang w:val="en-GB"/>
        </w:rPr>
        <w:t>768-</w:t>
      </w:r>
      <w:r w:rsidR="00F83921" w:rsidRPr="007C23BD">
        <w:rPr>
          <w:rFonts w:asciiTheme="minorHAnsi" w:eastAsia="Calibri" w:hAnsiTheme="minorHAnsi" w:cstheme="minorHAnsi"/>
          <w:lang w:val="en-GB"/>
        </w:rPr>
        <w:t>776</w:t>
      </w:r>
      <w:r w:rsidRPr="007C23BD">
        <w:rPr>
          <w:rFonts w:asciiTheme="minorHAnsi" w:eastAsia="Calibri" w:hAnsiTheme="minorHAnsi" w:cstheme="minorHAnsi"/>
          <w:lang w:val="en-GB"/>
        </w:rPr>
        <w:t>.</w:t>
      </w:r>
      <w:r w:rsidRPr="007C23BD">
        <w:rPr>
          <w:rStyle w:val="A7"/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DOI: 10.1111/jcpe.13</w:t>
      </w:r>
      <w:r w:rsidR="000C3357" w:rsidRPr="007C23BD">
        <w:rPr>
          <w:rStyle w:val="A7"/>
          <w:rFonts w:asciiTheme="minorHAnsi" w:hAnsiTheme="minorHAnsi" w:cstheme="minorHAnsi"/>
          <w:color w:val="auto"/>
          <w:sz w:val="24"/>
          <w:szCs w:val="24"/>
          <w:lang w:val="en-GB"/>
        </w:rPr>
        <w:t>289</w:t>
      </w:r>
    </w:p>
    <w:p w14:paraId="6D91C1AF" w14:textId="77777777" w:rsidR="00141353" w:rsidRPr="007C23BD" w:rsidRDefault="00141353" w:rsidP="00141353">
      <w:pPr>
        <w:pStyle w:val="Pa1"/>
        <w:rPr>
          <w:rStyle w:val="A7"/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6CA883CB" w14:textId="0859A5D5" w:rsidR="00141353" w:rsidRPr="007C23BD" w:rsidRDefault="009C1AF4" w:rsidP="00141353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hyperlink r:id="rId8" w:history="1">
        <w:r w:rsidRPr="007C23BD">
          <w:rPr>
            <w:rStyle w:val="Hipervnculo"/>
            <w:rFonts w:asciiTheme="minorHAnsi" w:hAnsiTheme="minorHAnsi" w:cstheme="minorHAnsi"/>
            <w:color w:val="auto"/>
            <w:sz w:val="24"/>
            <w:szCs w:val="24"/>
            <w:lang w:val="en-GB"/>
          </w:rPr>
          <w:t>https://www.onlinelibrary.wiley.com/doi/10.1111/jcpe.13289</w:t>
        </w:r>
      </w:hyperlink>
    </w:p>
    <w:p w14:paraId="47195172" w14:textId="77777777" w:rsidR="009C1AF4" w:rsidRPr="007C23BD" w:rsidRDefault="009C1AF4" w:rsidP="00141353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9CCF5B4" w14:textId="77777777" w:rsidR="00434A55" w:rsidRPr="007C23BD" w:rsidRDefault="00434A55">
      <w:pPr>
        <w:rPr>
          <w:rFonts w:asciiTheme="minorHAnsi" w:hAnsiTheme="minorHAnsi" w:cstheme="minorHAnsi"/>
          <w:sz w:val="24"/>
          <w:szCs w:val="24"/>
          <w:lang w:val="en-GB"/>
        </w:rPr>
      </w:pPr>
    </w:p>
    <w:sectPr w:rsidR="00434A55" w:rsidRPr="007C23BD" w:rsidSect="00F857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86275" w14:textId="77777777" w:rsidR="00804AED" w:rsidRDefault="00804AED" w:rsidP="00F74542">
      <w:pPr>
        <w:spacing w:after="0"/>
      </w:pPr>
      <w:r>
        <w:separator/>
      </w:r>
    </w:p>
  </w:endnote>
  <w:endnote w:type="continuationSeparator" w:id="0">
    <w:p w14:paraId="25270C4C" w14:textId="77777777" w:rsidR="00804AED" w:rsidRDefault="00804AED" w:rsidP="00F745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2C8C6" w14:textId="77777777" w:rsidR="00804AED" w:rsidRDefault="00804AED" w:rsidP="00F74542">
      <w:pPr>
        <w:spacing w:after="0"/>
      </w:pPr>
      <w:r>
        <w:separator/>
      </w:r>
    </w:p>
  </w:footnote>
  <w:footnote w:type="continuationSeparator" w:id="0">
    <w:p w14:paraId="6DD232C4" w14:textId="77777777" w:rsidR="00804AED" w:rsidRDefault="00804AED" w:rsidP="00F745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07495"/>
    <w:multiLevelType w:val="multilevel"/>
    <w:tmpl w:val="94F2B4C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E1A3E6A"/>
    <w:multiLevelType w:val="hybridMultilevel"/>
    <w:tmpl w:val="9B5CBC80"/>
    <w:lvl w:ilvl="0" w:tplc="B1EAD6BC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6FDB"/>
    <w:multiLevelType w:val="hybridMultilevel"/>
    <w:tmpl w:val="0A50E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52AB"/>
    <w:multiLevelType w:val="hybridMultilevel"/>
    <w:tmpl w:val="0CCEA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A4364">
      <w:start w:val="1"/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="Helvetica Neue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DF5"/>
    <w:multiLevelType w:val="hybridMultilevel"/>
    <w:tmpl w:val="735E7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4F0F"/>
    <w:multiLevelType w:val="hybridMultilevel"/>
    <w:tmpl w:val="FBA23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74F91"/>
    <w:multiLevelType w:val="hybridMultilevel"/>
    <w:tmpl w:val="AA9483EA"/>
    <w:lvl w:ilvl="0" w:tplc="829E54EE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54B35"/>
    <w:multiLevelType w:val="hybridMultilevel"/>
    <w:tmpl w:val="ED9AF3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E33D2"/>
    <w:multiLevelType w:val="hybridMultilevel"/>
    <w:tmpl w:val="5BE4D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F2C76"/>
    <w:multiLevelType w:val="hybridMultilevel"/>
    <w:tmpl w:val="7E808178"/>
    <w:lvl w:ilvl="0" w:tplc="F4E6B998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F79F7"/>
    <w:multiLevelType w:val="hybridMultilevel"/>
    <w:tmpl w:val="6408DB0C"/>
    <w:lvl w:ilvl="0" w:tplc="EDA2EDC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F0044"/>
    <w:multiLevelType w:val="hybridMultilevel"/>
    <w:tmpl w:val="A78AE9D2"/>
    <w:lvl w:ilvl="0" w:tplc="9ADECCE2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4"/>
  </w:num>
  <w:num w:numId="16">
    <w:abstractNumId w:val="12"/>
  </w:num>
  <w:num w:numId="17">
    <w:abstractNumId w:val="8"/>
  </w:num>
  <w:num w:numId="18">
    <w:abstractNumId w:val="10"/>
  </w:num>
  <w:num w:numId="19">
    <w:abstractNumId w:val="9"/>
  </w:num>
  <w:num w:numId="20">
    <w:abstractNumId w:val="6"/>
  </w:num>
  <w:num w:numId="21">
    <w:abstractNumId w:val="11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42"/>
    <w:rsid w:val="000238E6"/>
    <w:rsid w:val="000C3357"/>
    <w:rsid w:val="000C4486"/>
    <w:rsid w:val="000C53B2"/>
    <w:rsid w:val="000D1F89"/>
    <w:rsid w:val="000D5C14"/>
    <w:rsid w:val="000E6250"/>
    <w:rsid w:val="0013457A"/>
    <w:rsid w:val="00141353"/>
    <w:rsid w:val="00165C45"/>
    <w:rsid w:val="001951B7"/>
    <w:rsid w:val="001C651D"/>
    <w:rsid w:val="001D5041"/>
    <w:rsid w:val="001F2A30"/>
    <w:rsid w:val="00201F8E"/>
    <w:rsid w:val="00222700"/>
    <w:rsid w:val="00256829"/>
    <w:rsid w:val="002A0644"/>
    <w:rsid w:val="002C7AB8"/>
    <w:rsid w:val="00307E61"/>
    <w:rsid w:val="0037016B"/>
    <w:rsid w:val="00371AE4"/>
    <w:rsid w:val="003B3415"/>
    <w:rsid w:val="003C0264"/>
    <w:rsid w:val="003E77CD"/>
    <w:rsid w:val="00400C3F"/>
    <w:rsid w:val="00422C0A"/>
    <w:rsid w:val="00426D8A"/>
    <w:rsid w:val="00430B32"/>
    <w:rsid w:val="00434A55"/>
    <w:rsid w:val="00437437"/>
    <w:rsid w:val="00465647"/>
    <w:rsid w:val="004F3E86"/>
    <w:rsid w:val="005024C5"/>
    <w:rsid w:val="00537C63"/>
    <w:rsid w:val="005873A1"/>
    <w:rsid w:val="005E260D"/>
    <w:rsid w:val="005F5A54"/>
    <w:rsid w:val="00714967"/>
    <w:rsid w:val="007169A0"/>
    <w:rsid w:val="007357AD"/>
    <w:rsid w:val="00786449"/>
    <w:rsid w:val="007C23BD"/>
    <w:rsid w:val="007C519D"/>
    <w:rsid w:val="007E2209"/>
    <w:rsid w:val="00804AED"/>
    <w:rsid w:val="00823875"/>
    <w:rsid w:val="00837D88"/>
    <w:rsid w:val="0086761B"/>
    <w:rsid w:val="008E04F5"/>
    <w:rsid w:val="008E6807"/>
    <w:rsid w:val="00933D12"/>
    <w:rsid w:val="00947C56"/>
    <w:rsid w:val="00964E27"/>
    <w:rsid w:val="0098536B"/>
    <w:rsid w:val="009B7DF5"/>
    <w:rsid w:val="009C0611"/>
    <w:rsid w:val="009C1AF4"/>
    <w:rsid w:val="00A10F06"/>
    <w:rsid w:val="00A14C7E"/>
    <w:rsid w:val="00A5237B"/>
    <w:rsid w:val="00A630F1"/>
    <w:rsid w:val="00A751E4"/>
    <w:rsid w:val="00B22BFD"/>
    <w:rsid w:val="00B24CE9"/>
    <w:rsid w:val="00B86342"/>
    <w:rsid w:val="00BB1BFC"/>
    <w:rsid w:val="00C03876"/>
    <w:rsid w:val="00C64DED"/>
    <w:rsid w:val="00C77BF2"/>
    <w:rsid w:val="00C90201"/>
    <w:rsid w:val="00F10A1F"/>
    <w:rsid w:val="00F74542"/>
    <w:rsid w:val="00F83921"/>
    <w:rsid w:val="00F85775"/>
    <w:rsid w:val="00F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35F4"/>
  <w15:chartTrackingRefBased/>
  <w15:docId w15:val="{199897A7-34C3-A04B-8881-3FD1EF0F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37"/>
    <w:rPr>
      <w:rFonts w:ascii="Times New Roman" w:hAnsi="Times New Roman"/>
      <w:sz w:val="20"/>
      <w:szCs w:val="20"/>
      <w:lang w:val="en-US" w:eastAsia="tr-TR"/>
    </w:rPr>
  </w:style>
  <w:style w:type="paragraph" w:styleId="Ttulo1">
    <w:name w:val="heading 1"/>
    <w:basedOn w:val="Normal"/>
    <w:next w:val="Normal"/>
    <w:link w:val="Ttulo1Car"/>
    <w:uiPriority w:val="9"/>
    <w:qFormat/>
    <w:rsid w:val="00437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7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4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74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74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74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74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74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7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74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tr-T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74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tr-T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4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tr-T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743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US" w:eastAsia="tr-T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743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tr-T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743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tr-T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743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 w:eastAsia="tr-T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74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tr-T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7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tr-TR"/>
    </w:rPr>
  </w:style>
  <w:style w:type="paragraph" w:styleId="Prrafodelista">
    <w:name w:val="List Paragraph"/>
    <w:basedOn w:val="Normal"/>
    <w:uiPriority w:val="34"/>
    <w:qFormat/>
    <w:rsid w:val="00437437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43743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37437"/>
    <w:rPr>
      <w:rFonts w:eastAsiaTheme="minorEastAsia"/>
      <w:color w:val="5A5A5A" w:themeColor="text1" w:themeTint="A5"/>
      <w:spacing w:val="15"/>
      <w:lang w:val="en-US" w:eastAsia="tr-TR"/>
    </w:rPr>
  </w:style>
  <w:style w:type="paragraph" w:styleId="Sinespaciado">
    <w:name w:val="No Spacing"/>
    <w:uiPriority w:val="1"/>
    <w:qFormat/>
    <w:rsid w:val="00437437"/>
    <w:pPr>
      <w:spacing w:after="0"/>
    </w:pPr>
    <w:rPr>
      <w:rFonts w:ascii="Times New Roman" w:hAnsi="Times New Roman"/>
      <w:sz w:val="20"/>
      <w:szCs w:val="20"/>
      <w:lang w:val="en-US" w:eastAsia="tr-TR"/>
    </w:rPr>
  </w:style>
  <w:style w:type="paragraph" w:styleId="Encabezado">
    <w:name w:val="header"/>
    <w:basedOn w:val="Normal"/>
    <w:link w:val="EncabezadoCar"/>
    <w:uiPriority w:val="99"/>
    <w:unhideWhenUsed/>
    <w:rsid w:val="00F74542"/>
    <w:pPr>
      <w:tabs>
        <w:tab w:val="center" w:pos="4536"/>
        <w:tab w:val="right" w:pos="9072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74542"/>
    <w:rPr>
      <w:rFonts w:ascii="Times New Roman" w:hAnsi="Times New Roman"/>
      <w:sz w:val="20"/>
      <w:szCs w:val="20"/>
      <w:lang w:val="en-US" w:eastAsia="tr-TR"/>
    </w:rPr>
  </w:style>
  <w:style w:type="paragraph" w:styleId="Piedepgina">
    <w:name w:val="footer"/>
    <w:basedOn w:val="Normal"/>
    <w:link w:val="PiedepginaCar"/>
    <w:uiPriority w:val="99"/>
    <w:unhideWhenUsed/>
    <w:rsid w:val="00F74542"/>
    <w:pPr>
      <w:tabs>
        <w:tab w:val="center" w:pos="4536"/>
        <w:tab w:val="right" w:pos="9072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542"/>
    <w:rPr>
      <w:rFonts w:ascii="Times New Roman" w:hAnsi="Times New Roman"/>
      <w:sz w:val="20"/>
      <w:szCs w:val="20"/>
      <w:lang w:val="en-US" w:eastAsia="tr-T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700"/>
    <w:pPr>
      <w:spacing w:after="0"/>
    </w:pPr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700"/>
    <w:rPr>
      <w:rFonts w:ascii="Times New Roman" w:hAnsi="Times New Roman" w:cs="Times New Roman"/>
      <w:sz w:val="18"/>
      <w:szCs w:val="18"/>
      <w:lang w:val="en-US" w:eastAsia="tr-TR"/>
    </w:rPr>
  </w:style>
  <w:style w:type="paragraph" w:customStyle="1" w:styleId="paragraph">
    <w:name w:val="paragraph"/>
    <w:basedOn w:val="Normal"/>
    <w:rsid w:val="00C64DED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HK" w:eastAsia="zh-CN"/>
    </w:rPr>
  </w:style>
  <w:style w:type="character" w:customStyle="1" w:styleId="normaltextrun">
    <w:name w:val="normaltextrun"/>
    <w:basedOn w:val="Fuentedeprrafopredeter"/>
    <w:rsid w:val="00C64DED"/>
  </w:style>
  <w:style w:type="character" w:customStyle="1" w:styleId="eop">
    <w:name w:val="eop"/>
    <w:basedOn w:val="Fuentedeprrafopredeter"/>
    <w:rsid w:val="00C64DED"/>
  </w:style>
  <w:style w:type="character" w:customStyle="1" w:styleId="A7">
    <w:name w:val="A7"/>
    <w:uiPriority w:val="99"/>
    <w:rsid w:val="00141353"/>
    <w:rPr>
      <w:rFonts w:cs="Roboto"/>
      <w:color w:val="3C5DA8"/>
      <w:sz w:val="14"/>
      <w:szCs w:val="14"/>
    </w:rPr>
  </w:style>
  <w:style w:type="paragraph" w:customStyle="1" w:styleId="Pa1">
    <w:name w:val="Pa1"/>
    <w:basedOn w:val="Normal"/>
    <w:next w:val="Normal"/>
    <w:uiPriority w:val="99"/>
    <w:rsid w:val="00141353"/>
    <w:pPr>
      <w:autoSpaceDE w:val="0"/>
      <w:autoSpaceDN w:val="0"/>
      <w:adjustRightInd w:val="0"/>
      <w:spacing w:after="0" w:line="241" w:lineRule="atLeast"/>
    </w:pPr>
    <w:rPr>
      <w:rFonts w:ascii="Roboto" w:hAnsi="Roboto"/>
      <w:sz w:val="24"/>
      <w:szCs w:val="24"/>
      <w:lang w:val="es-ES" w:eastAsia="en-US"/>
    </w:rPr>
  </w:style>
  <w:style w:type="character" w:customStyle="1" w:styleId="A8">
    <w:name w:val="A8"/>
    <w:uiPriority w:val="99"/>
    <w:rsid w:val="00141353"/>
    <w:rPr>
      <w:rFonts w:cs="Roboto"/>
      <w:color w:val="3C5DA8"/>
      <w:sz w:val="14"/>
      <w:szCs w:val="14"/>
      <w:u w:val="single"/>
    </w:rPr>
  </w:style>
  <w:style w:type="character" w:styleId="Hipervnculo">
    <w:name w:val="Hyperlink"/>
    <w:basedOn w:val="Fuentedeprrafopredeter"/>
    <w:uiPriority w:val="99"/>
    <w:unhideWhenUsed/>
    <w:rsid w:val="009C1AF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1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library.wiley.com/doi/10.1111/jcpe.132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1072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kurt</dc:creator>
  <cp:keywords/>
  <dc:description/>
  <cp:lastModifiedBy>Paul Edward Davies</cp:lastModifiedBy>
  <cp:revision>47</cp:revision>
  <dcterms:created xsi:type="dcterms:W3CDTF">2020-10-07T10:12:00Z</dcterms:created>
  <dcterms:modified xsi:type="dcterms:W3CDTF">2020-10-07T11:20:00Z</dcterms:modified>
</cp:coreProperties>
</file>