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suppressAutoHyphens w:val="1"/>
        <w:jc w:val="both"/>
        <w:rPr>
          <w:rFonts w:ascii="Arial" w:hAnsi="Arial"/>
        </w:rPr>
      </w:pPr>
      <w:r>
        <w:rPr>
          <w:rFonts w:ascii="Arial" w:hAnsi="Arial"/>
        </w:rPr>
        <w:drawing xmlns:a="http://schemas.openxmlformats.org/drawingml/2006/main">
          <wp:anchor distT="0" distB="0" distL="0" distR="0" simplePos="0" relativeHeight="251659264" behindDoc="0" locked="0" layoutInCell="1" allowOverlap="1">
            <wp:simplePos x="0" y="0"/>
            <wp:positionH relativeFrom="page">
              <wp:posOffset>2533743</wp:posOffset>
            </wp:positionH>
            <wp:positionV relativeFrom="page">
              <wp:posOffset>103929</wp:posOffset>
            </wp:positionV>
            <wp:extent cx="3281489" cy="543978"/>
            <wp:effectExtent l="0" t="0" r="0" b="0"/>
            <wp:wrapSquare wrapText="bothSides" distL="0" distR="0" distT="0" distB="0"/>
            <wp:docPr id="1073741825"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5"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suppressAutoHyphens w:val="1"/>
        <w:jc w:val="both"/>
        <w:rPr>
          <w:rFonts w:ascii="Arial" w:hAnsi="Arial"/>
        </w:rPr>
      </w:pPr>
    </w:p>
    <w:p>
      <w:pPr>
        <w:pStyle w:val="Cuerpo A"/>
        <w:suppressAutoHyphens w:val="1"/>
        <w:jc w:val="both"/>
        <w:rPr>
          <w:rFonts w:ascii="Arial" w:hAnsi="Arial"/>
        </w:rPr>
      </w:pPr>
    </w:p>
    <w:p>
      <w:pPr>
        <w:pStyle w:val="heading 4"/>
        <w:keepNext w:val="0"/>
        <w:tabs>
          <w:tab w:val="left" w:pos="5954"/>
        </w:tabs>
        <w:suppressAutoHyphens w:val="1"/>
        <w:spacing w:line="360" w:lineRule="auto"/>
        <w:jc w:val="right"/>
        <w:rPr>
          <w:rStyle w:val="Ninguno"/>
          <w:sz w:val="26"/>
          <w:szCs w:val="26"/>
          <w:lang w:val="en-US"/>
        </w:rPr>
      </w:pPr>
      <w:r>
        <w:rPr>
          <w:rStyle w:val="Ninguno"/>
          <w:sz w:val="26"/>
          <w:szCs w:val="26"/>
          <w:rtl w:val="0"/>
          <w:lang w:val="es-ES_tradnl"/>
        </w:rPr>
        <w:t>EMBARGOED UNTIL 16 JUNE 2022 AT 14.30 CET</w:t>
      </w:r>
    </w:p>
    <w:p>
      <w:pPr>
        <w:pStyle w:val="Cuerpo A"/>
        <w:rPr>
          <w:rStyle w:val="Ninguno"/>
          <w:sz w:val="26"/>
          <w:szCs w:val="26"/>
        </w:rPr>
      </w:pPr>
    </w:p>
    <w:p>
      <w:pPr>
        <w:pStyle w:val="Cuerpo A"/>
        <w:suppressAutoHyphens w:val="1"/>
        <w:jc w:val="center"/>
        <w:rPr>
          <w:rFonts w:ascii="Arial" w:cs="Arial" w:hAnsi="Arial" w:eastAsia="Arial"/>
          <w:b w:val="1"/>
          <w:bCs w:val="1"/>
          <w:sz w:val="28"/>
          <w:szCs w:val="28"/>
        </w:rPr>
      </w:pPr>
      <w:r>
        <w:rPr>
          <w:rFonts w:ascii="Arial" w:hAnsi="Arial"/>
          <w:b w:val="1"/>
          <w:bCs w:val="1"/>
          <w:sz w:val="28"/>
          <w:szCs w:val="28"/>
          <w:rtl w:val="0"/>
          <w:lang w:val="es-ES_tradnl"/>
        </w:rPr>
        <w:t>EuroPerio10 congress</w:t>
      </w:r>
    </w:p>
    <w:p>
      <w:pPr>
        <w:pStyle w:val="Normal (Web)"/>
        <w:suppressAutoHyphens w:val="1"/>
        <w:spacing w:after="240"/>
        <w:jc w:val="center"/>
        <w:rPr>
          <w:rStyle w:val="Ninguno"/>
          <w:rFonts w:ascii="Arial" w:cs="Arial" w:hAnsi="Arial" w:eastAsia="Arial"/>
          <w:b w:val="1"/>
          <w:bCs w:val="1"/>
          <w:sz w:val="40"/>
          <w:szCs w:val="40"/>
        </w:rPr>
      </w:pPr>
      <w:r>
        <w:rPr>
          <w:rStyle w:val="Ninguno"/>
          <w:rFonts w:ascii="Arial" w:hAnsi="Arial"/>
          <w:b w:val="1"/>
          <w:bCs w:val="1"/>
          <w:sz w:val="48"/>
          <w:szCs w:val="48"/>
          <w:rtl w:val="0"/>
          <w:lang w:val="en-US"/>
        </w:rPr>
        <w:t xml:space="preserve">Artificial intelligence shows promise </w:t>
      </w:r>
      <w:r>
        <w:rPr>
          <w:rStyle w:val="Ninguno"/>
          <w:rFonts w:ascii="Arial" w:cs="Arial" w:hAnsi="Arial" w:eastAsia="Arial"/>
          <w:b w:val="1"/>
          <w:bCs w:val="1"/>
          <w:sz w:val="48"/>
          <w:szCs w:val="48"/>
        </w:rPr>
        <w:br w:type="textWrapping"/>
      </w:r>
      <w:r>
        <w:rPr>
          <w:rStyle w:val="Ninguno"/>
          <w:rFonts w:ascii="Arial" w:hAnsi="Arial"/>
          <w:b w:val="1"/>
          <w:bCs w:val="1"/>
          <w:sz w:val="48"/>
          <w:szCs w:val="48"/>
          <w:rtl w:val="0"/>
          <w:lang w:val="en-US"/>
        </w:rPr>
        <w:t>for interpreting dental X-rays</w:t>
      </w:r>
    </w:p>
    <w:p>
      <w:pPr>
        <w:pStyle w:val="Normal (Web)"/>
        <w:suppressAutoHyphens w:val="1"/>
        <w:spacing w:after="240"/>
        <w:jc w:val="both"/>
        <w:rPr>
          <w:rFonts w:ascii="Arial" w:cs="Arial" w:hAnsi="Arial" w:eastAsia="Arial"/>
          <w:b w:val="1"/>
          <w:bCs w:val="1"/>
          <w:sz w:val="50"/>
          <w:szCs w:val="50"/>
        </w:rPr>
      </w:pPr>
    </w:p>
    <w:p>
      <w:pPr>
        <w:pStyle w:val="Cuerpo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Fonts w:ascii="Arial" w:cs="Arial" w:hAnsi="Arial" w:eastAsia="Arial"/>
          <w:lang w:val="en-US"/>
        </w:rPr>
      </w:pPr>
      <w:r>
        <w:rPr>
          <w:rStyle w:val="Ninguno"/>
          <w:rFonts w:ascii="Arial" w:hAnsi="Arial"/>
          <w:b w:val="1"/>
          <w:bCs w:val="1"/>
          <w:rtl w:val="0"/>
          <w:lang w:val="es-ES_tradnl"/>
        </w:rPr>
        <w:t>Copenhagen</w:t>
      </w:r>
      <w:r>
        <w:rPr>
          <w:rStyle w:val="Ninguno"/>
          <w:rFonts w:ascii="Arial" w:hAnsi="Arial"/>
          <w:b w:val="1"/>
          <w:bCs w:val="1"/>
          <w:rtl w:val="0"/>
          <w:lang w:val="en-US"/>
        </w:rPr>
        <w:t xml:space="preserve">, </w:t>
      </w:r>
      <w:r>
        <w:rPr>
          <w:rStyle w:val="Ninguno"/>
          <w:rFonts w:ascii="Arial" w:hAnsi="Arial"/>
          <w:b w:val="1"/>
          <w:bCs w:val="1"/>
          <w:rtl w:val="0"/>
          <w:lang w:val="es-ES_tradnl"/>
        </w:rPr>
        <w:t>16</w:t>
      </w:r>
      <w:r>
        <w:rPr>
          <w:rStyle w:val="Ninguno"/>
          <w:rFonts w:ascii="Arial" w:hAnsi="Arial"/>
          <w:b w:val="1"/>
          <w:bCs w:val="1"/>
          <w:rtl w:val="0"/>
          <w:lang w:val="en-US"/>
        </w:rPr>
        <w:t xml:space="preserve"> </w:t>
      </w:r>
      <w:r>
        <w:rPr>
          <w:rStyle w:val="Ninguno"/>
          <w:rFonts w:ascii="Arial" w:hAnsi="Arial"/>
          <w:b w:val="1"/>
          <w:bCs w:val="1"/>
          <w:rtl w:val="0"/>
          <w:lang w:val="es-ES_tradnl"/>
        </w:rPr>
        <w:t>June</w:t>
      </w:r>
      <w:r>
        <w:rPr>
          <w:rStyle w:val="Ninguno"/>
          <w:rFonts w:ascii="Arial" w:hAnsi="Arial"/>
          <w:b w:val="1"/>
          <w:bCs w:val="1"/>
          <w:rtl w:val="0"/>
          <w:lang w:val="en-US"/>
        </w:rPr>
        <w:t xml:space="preserve"> 2022</w:t>
      </w:r>
      <w:r>
        <w:rPr>
          <w:rFonts w:ascii="Arial" w:hAnsi="Arial"/>
          <w:rtl w:val="0"/>
          <w:lang w:val="en-US"/>
        </w:rPr>
        <w:t>. A deep learning algorithm successfully detects periodontal disease from 2D bitewing radiographs, according to research presented at EuroPerio10, the world</w:t>
      </w:r>
      <w:r>
        <w:rPr>
          <w:rFonts w:ascii="Arial" w:hAnsi="Arial" w:hint="default"/>
          <w:rtl w:val="0"/>
          <w:lang w:val="en-US"/>
        </w:rPr>
        <w:t>’</w:t>
      </w:r>
      <w:r>
        <w:rPr>
          <w:rFonts w:ascii="Arial" w:hAnsi="Arial"/>
          <w:rtl w:val="0"/>
          <w:lang w:val="en-US"/>
        </w:rPr>
        <w:t>s leading congress in periodontology and implant dentistry organised by the European Federation of Periodontology (EFP) (1).</w:t>
      </w:r>
    </w:p>
    <w:p>
      <w:pPr>
        <w:pStyle w:val="Cuerpo"/>
        <w:widowControl w:val="0"/>
        <w:jc w:val="both"/>
        <w:rPr>
          <w:rFonts w:ascii="Arial" w:cs="Arial" w:hAnsi="Arial" w:eastAsia="Arial"/>
        </w:rPr>
      </w:pPr>
    </w:p>
    <w:p>
      <w:pPr>
        <w:pStyle w:val="Cuerpo"/>
        <w:widowControl w:val="0"/>
        <w:jc w:val="both"/>
        <w:rPr>
          <w:rFonts w:ascii="Arial" w:cs="Arial" w:hAnsi="Arial" w:eastAsia="Arial"/>
        </w:rPr>
      </w:pPr>
      <w:r>
        <w:rPr>
          <w:rFonts w:ascii="Arial" w:hAnsi="Arial" w:hint="default"/>
          <w:rtl w:val="1"/>
          <w:lang w:val="ar-SA" w:bidi="ar-SA"/>
        </w:rPr>
        <w:t>“</w:t>
      </w:r>
      <w:r>
        <w:rPr>
          <w:rFonts w:ascii="Arial" w:hAnsi="Arial"/>
          <w:rtl w:val="0"/>
          <w:lang w:val="en-US"/>
        </w:rPr>
        <w:t>Our study shows the potential for artificial intelligence (AI) to automatically identify periodontal pathologies that might otherwise be missed,</w:t>
      </w:r>
      <w:r>
        <w:rPr>
          <w:rFonts w:ascii="Arial" w:hAnsi="Arial" w:hint="default"/>
          <w:rtl w:val="0"/>
        </w:rPr>
        <w:t xml:space="preserve">” </w:t>
      </w:r>
      <w:r>
        <w:rPr>
          <w:rFonts w:ascii="Arial" w:hAnsi="Arial"/>
          <w:rtl w:val="0"/>
        </w:rPr>
        <w:t xml:space="preserve">said study author Dr Burak Yavuz of </w:t>
      </w:r>
      <w:r>
        <w:rPr>
          <w:rStyle w:val="Ninguno"/>
          <w:rFonts w:ascii="Arial" w:hAnsi="Arial"/>
          <w:outline w:val="0"/>
          <w:color w:val="202429"/>
          <w:u w:color="202429"/>
          <w:rtl w:val="0"/>
          <w14:textFill>
            <w14:solidFill>
              <w14:srgbClr w14:val="202429"/>
            </w14:solidFill>
          </w14:textFill>
        </w:rPr>
        <w:t xml:space="preserve">Eskisehir Osmangazi University, Turkey. </w:t>
      </w:r>
      <w:r>
        <w:rPr>
          <w:rStyle w:val="Ninguno"/>
          <w:rFonts w:ascii="Arial" w:hAnsi="Arial" w:hint="default"/>
          <w:outline w:val="0"/>
          <w:color w:val="202429"/>
          <w:u w:color="202429"/>
          <w:rtl w:val="1"/>
          <w:lang w:val="ar-SA" w:bidi="ar-SA"/>
          <w14:textFill>
            <w14:solidFill>
              <w14:srgbClr w14:val="202429"/>
            </w14:solidFill>
          </w14:textFill>
        </w:rPr>
        <w:t>“</w:t>
      </w:r>
      <w:r>
        <w:rPr>
          <w:rStyle w:val="Ninguno"/>
          <w:rFonts w:ascii="Arial" w:hAnsi="Arial"/>
          <w:outline w:val="0"/>
          <w:color w:val="202429"/>
          <w:u w:color="202429"/>
          <w:rtl w:val="0"/>
          <w:lang w:val="en-US"/>
          <w14:textFill>
            <w14:solidFill>
              <w14:srgbClr w14:val="202429"/>
            </w14:solidFill>
          </w14:textFill>
        </w:rPr>
        <w:t xml:space="preserve">This could reduce </w:t>
      </w:r>
      <w:r>
        <w:rPr>
          <w:rFonts w:ascii="Arial" w:hAnsi="Arial"/>
          <w:rtl w:val="0"/>
          <w:lang w:val="en-US"/>
        </w:rPr>
        <w:t>radiation exposure by avoiding repeat assessments, prevent the silent progression of periodontal disease, and enable earlier treatment.</w:t>
      </w:r>
      <w:r>
        <w:rPr>
          <w:rFonts w:ascii="Arial" w:hAnsi="Arial" w:hint="default"/>
          <w:rtl w:val="0"/>
        </w:rPr>
        <w:t>”</w:t>
      </w:r>
    </w:p>
    <w:p>
      <w:pPr>
        <w:pStyle w:val="Cuerpo"/>
        <w:widowControl w:val="0"/>
        <w:jc w:val="both"/>
        <w:rPr>
          <w:rFonts w:ascii="Arial" w:cs="Arial" w:hAnsi="Arial" w:eastAsia="Arial"/>
        </w:rPr>
      </w:pPr>
    </w:p>
    <w:p>
      <w:pPr>
        <w:pStyle w:val="Cuerpo"/>
        <w:jc w:val="both"/>
        <w:rPr>
          <w:rFonts w:ascii="Arial" w:cs="Arial" w:hAnsi="Arial" w:eastAsia="Arial"/>
        </w:rPr>
      </w:pPr>
      <w:r>
        <w:rPr>
          <w:rFonts w:ascii="Arial" w:hAnsi="Arial"/>
          <w:rtl w:val="0"/>
          <w:lang w:val="en-US"/>
        </w:rPr>
        <w:t>Previous studies have examined the use of AI to detect caries, root fractures and apical lesions but there is limited research in the field of periodontology. This study evaluated the ability of deep learning, a type of AI, to determine periodontal status in bitewing radiographs.</w:t>
      </w:r>
    </w:p>
    <w:p>
      <w:pPr>
        <w:pStyle w:val="Cuerpo"/>
        <w:jc w:val="both"/>
        <w:rPr>
          <w:rFonts w:ascii="Arial" w:cs="Arial" w:hAnsi="Arial" w:eastAsia="Arial"/>
        </w:rPr>
      </w:pPr>
    </w:p>
    <w:p>
      <w:pPr>
        <w:pStyle w:val="Cuerpo"/>
        <w:widowControl w:val="0"/>
        <w:jc w:val="both"/>
        <w:rPr>
          <w:rStyle w:val="Ninguno"/>
          <w:rFonts w:ascii="Arial" w:cs="Arial" w:hAnsi="Arial" w:eastAsia="Arial"/>
          <w:outline w:val="0"/>
          <w:color w:val="202429"/>
          <w:u w:color="202429"/>
          <w14:textFill>
            <w14:solidFill>
              <w14:srgbClr w14:val="202429"/>
            </w14:solidFill>
          </w14:textFill>
        </w:rPr>
      </w:pPr>
      <w:r>
        <w:rPr>
          <w:rFonts w:ascii="Arial" w:hAnsi="Arial"/>
          <w:rtl w:val="0"/>
        </w:rPr>
        <w:t>T</w:t>
      </w:r>
      <w:r>
        <w:rPr>
          <w:rStyle w:val="Ninguno"/>
          <w:rFonts w:ascii="Arial" w:hAnsi="Arial"/>
          <w:outline w:val="0"/>
          <w:color w:val="202429"/>
          <w:u w:color="202429"/>
          <w:rtl w:val="0"/>
          <w:lang w:val="en-US"/>
          <w14:textFill>
            <w14:solidFill>
              <w14:srgbClr w14:val="202429"/>
            </w14:solidFill>
          </w14:textFill>
        </w:rPr>
        <w:t xml:space="preserve">he study used 434 bitewing radiographs from patients with periodontitis. </w:t>
      </w:r>
      <w:r>
        <w:rPr>
          <w:rFonts w:ascii="Arial" w:hAnsi="Arial"/>
          <w:rtl w:val="0"/>
          <w:lang w:val="en-US"/>
        </w:rPr>
        <w:t xml:space="preserve">Image processing was performed with u-net architecture, a convolutional neural network used to quickly and precisely segment images. An experienced specialist physician also evaluated the images using the segmentation method. Assessments included total alveolar bone loss around the lower and upper teeth, horizontal bone loss, vertical bone loss, furcation defects, and calculus </w:t>
      </w:r>
      <w:r>
        <w:rPr>
          <w:rStyle w:val="Ninguno"/>
          <w:rFonts w:ascii="Arial" w:hAnsi="Arial"/>
          <w:outline w:val="0"/>
          <w:color w:val="202429"/>
          <w:u w:color="202429"/>
          <w:rtl w:val="0"/>
          <w:lang w:val="en-US"/>
          <w14:textFill>
            <w14:solidFill>
              <w14:srgbClr w14:val="202429"/>
            </w14:solidFill>
          </w14:textFill>
        </w:rPr>
        <w:t>around maxillary and mandibular teeth.</w:t>
      </w:r>
    </w:p>
    <w:p>
      <w:pPr>
        <w:pStyle w:val="heading 4"/>
        <w:keepNext w:val="0"/>
        <w:jc w:val="both"/>
        <w:outlineLvl w:val="9"/>
        <w:rPr>
          <w:b w:val="0"/>
          <w:bCs w:val="0"/>
          <w:outline w:val="0"/>
          <w:color w:val="202429"/>
          <w:sz w:val="24"/>
          <w:szCs w:val="24"/>
          <w:u w:color="202429"/>
          <w:lang w:val="en-US"/>
          <w14:textFill>
            <w14:solidFill>
              <w14:srgbClr w14:val="202429"/>
            </w14:solidFill>
          </w14:textFill>
        </w:rPr>
      </w:pPr>
    </w:p>
    <w:p>
      <w:pPr>
        <w:pStyle w:val="Cuerpo"/>
        <w:jc w:val="both"/>
        <w:rPr>
          <w:rStyle w:val="Ninguno"/>
          <w:rFonts w:ascii="Arial" w:cs="Arial" w:hAnsi="Arial" w:eastAsia="Arial"/>
          <w:shd w:val="clear" w:color="auto" w:fill="ffffff"/>
        </w:rPr>
      </w:pPr>
      <w:r>
        <w:rPr>
          <w:rFonts w:ascii="Arial" w:hAnsi="Arial"/>
          <w:rtl w:val="0"/>
          <w:lang w:val="en-US"/>
        </w:rPr>
        <w:t>The neural network identified 859 cases of alveolar bone loss, 2,215 cases of horizontal bone loss, 340 cases of vertical bone loss, 108 furcation defects, and 508 cases of dental calculus. The success of the algorithm at identifying defects was compared against the physician</w:t>
      </w:r>
      <w:r>
        <w:rPr>
          <w:rFonts w:ascii="Arial" w:hAnsi="Arial" w:hint="default"/>
          <w:rtl w:val="1"/>
        </w:rPr>
        <w:t>’</w:t>
      </w:r>
      <w:r>
        <w:rPr>
          <w:rFonts w:ascii="Arial" w:hAnsi="Arial"/>
          <w:rtl w:val="0"/>
          <w:lang w:val="en-US"/>
        </w:rPr>
        <w:t xml:space="preserve">s assessment and reported as sensitivity, precision and F1 score, which is the </w:t>
      </w:r>
      <w:r>
        <w:rPr>
          <w:rStyle w:val="Ninguno"/>
          <w:rFonts w:ascii="Arial" w:hAnsi="Arial"/>
          <w:shd w:val="clear" w:color="auto" w:fill="ffffff"/>
          <w:rtl w:val="0"/>
          <w:lang w:val="en-US"/>
        </w:rPr>
        <w:t xml:space="preserve">weighted average of sensitivity and precision. For </w:t>
      </w:r>
      <w:r>
        <w:rPr>
          <w:rFonts w:ascii="Arial" w:hAnsi="Arial"/>
          <w:rtl w:val="0"/>
          <w:lang w:val="en-US"/>
        </w:rPr>
        <w:t>sensitivity, precision and F1 score</w:t>
      </w:r>
      <w:r>
        <w:rPr>
          <w:rStyle w:val="Ninguno"/>
          <w:rFonts w:ascii="Arial" w:hAnsi="Arial"/>
          <w:shd w:val="clear" w:color="auto" w:fill="ffffff"/>
          <w:rtl w:val="0"/>
          <w:lang w:val="en-US"/>
        </w:rPr>
        <w:t>, 1 is the best value and 0 is the worst.</w:t>
      </w:r>
    </w:p>
    <w:p>
      <w:pPr>
        <w:pStyle w:val="Cuerpo"/>
        <w:jc w:val="both"/>
        <w:rPr>
          <w:rFonts w:ascii="Arial" w:cs="Arial" w:hAnsi="Arial" w:eastAsia="Arial"/>
        </w:rPr>
      </w:pPr>
    </w:p>
    <w:p>
      <w:pPr>
        <w:pStyle w:val="Cuerpo"/>
        <w:jc w:val="both"/>
        <w:rPr>
          <w:rFonts w:ascii="Arial" w:cs="Arial" w:hAnsi="Arial" w:eastAsia="Arial"/>
        </w:rPr>
      </w:pPr>
      <w:r>
        <w:rPr>
          <w:rFonts w:ascii="Arial" w:hAnsi="Arial"/>
          <w:rtl w:val="0"/>
          <w:lang w:val="en-US"/>
        </w:rPr>
        <w:t>The sensitivity, precision and F1 score results for total alveolar bone loss were 1, 0.94 and 0.96, respectively. The corresponding values for horizontal bone loss were 1, 0.92 and 0.95, respectively, while AI could not identify vertical bone loss. For dental calculus, the sensitivity, precision and F1 score results were 1.0, 0.7 and 0.82, respectively, and for furcation defects the corresponding values were 0.62, 0.71 and 0.66, respectively.</w:t>
      </w:r>
    </w:p>
    <w:p>
      <w:pPr>
        <w:pStyle w:val="Cuerpo"/>
        <w:jc w:val="both"/>
        <w:rPr>
          <w:rFonts w:ascii="Arial" w:cs="Arial" w:hAnsi="Arial" w:eastAsia="Arial"/>
        </w:rPr>
      </w:pPr>
    </w:p>
    <w:p>
      <w:pPr>
        <w:pStyle w:val="Cuerpo"/>
        <w:jc w:val="both"/>
        <w:rPr>
          <w:rFonts w:ascii="Arial" w:cs="Arial" w:hAnsi="Arial" w:eastAsia="Arial"/>
        </w:rPr>
      </w:pPr>
      <w:r>
        <w:rPr>
          <w:rFonts w:ascii="Arial" w:hAnsi="Arial"/>
          <w:rtl w:val="0"/>
        </w:rPr>
        <w:t xml:space="preserve">Dr Yavuz said: </w:t>
      </w:r>
      <w:r>
        <w:rPr>
          <w:rFonts w:ascii="Arial" w:hAnsi="Arial" w:hint="default"/>
          <w:rtl w:val="1"/>
          <w:lang w:val="ar-SA" w:bidi="ar-SA"/>
        </w:rPr>
        <w:t>“</w:t>
      </w:r>
      <w:r>
        <w:rPr>
          <w:rFonts w:ascii="Arial" w:hAnsi="Arial"/>
          <w:rtl w:val="0"/>
          <w:lang w:val="en-US"/>
        </w:rPr>
        <w:t>Our study illustrates that AI is able to pick up many types of defects from 2D images which could aid in the diagnosis of periodontitis. More comprehensive studies are required on larger data sets to increase the success of the models and extend their use to 3D radiographs.</w:t>
      </w:r>
      <w:r>
        <w:rPr>
          <w:rFonts w:ascii="Arial" w:hAnsi="Arial" w:hint="default"/>
          <w:rtl w:val="0"/>
        </w:rPr>
        <w:t>”</w:t>
      </w:r>
    </w:p>
    <w:p>
      <w:pPr>
        <w:pStyle w:val="Cuerpo"/>
        <w:jc w:val="both"/>
        <w:rPr>
          <w:rFonts w:ascii="Arial" w:cs="Arial" w:hAnsi="Arial" w:eastAsia="Arial"/>
        </w:rPr>
      </w:pPr>
    </w:p>
    <w:p>
      <w:pPr>
        <w:pStyle w:val="Cuerpo"/>
        <w:jc w:val="both"/>
        <w:rPr>
          <w:rFonts w:ascii="Arial" w:cs="Arial" w:hAnsi="Arial" w:eastAsia="Arial"/>
        </w:rPr>
      </w:pPr>
    </w:p>
    <w:p>
      <w:pPr>
        <w:pStyle w:val="Cuerpo"/>
        <w:jc w:val="both"/>
        <w:rPr>
          <w:rFonts w:ascii="Arial" w:cs="Arial" w:hAnsi="Arial" w:eastAsia="Arial"/>
        </w:rPr>
      </w:pPr>
    </w:p>
    <w:p>
      <w:pPr>
        <w:pStyle w:val="Cuerpo"/>
        <w:jc w:val="both"/>
        <w:rPr>
          <w:rStyle w:val="Ninguno"/>
          <w:rFonts w:ascii="Arial" w:cs="Arial" w:hAnsi="Arial" w:eastAsia="Arial"/>
          <w14:textOutline w14:w="12700" w14:cap="flat">
            <w14:noFill/>
            <w14:miter w14:lim="400000"/>
          </w14:textOutline>
        </w:rPr>
      </w:pPr>
      <w:r>
        <w:rPr>
          <w:rFonts w:ascii="Arial" w:hAnsi="Arial"/>
          <w:rtl w:val="0"/>
          <w:lang w:val="en-US"/>
        </w:rPr>
        <w:t xml:space="preserve">He concluded: </w:t>
      </w:r>
      <w:r>
        <w:rPr>
          <w:rFonts w:ascii="Arial" w:hAnsi="Arial" w:hint="default"/>
          <w:rtl w:val="1"/>
          <w:lang w:val="ar-SA" w:bidi="ar-SA"/>
        </w:rPr>
        <w:t>“</w:t>
      </w:r>
      <w:r>
        <w:rPr>
          <w:rFonts w:ascii="Arial" w:hAnsi="Arial"/>
          <w:rtl w:val="0"/>
          <w:lang w:val="en-US"/>
        </w:rPr>
        <w:t>This study provides a glimpse into the future of dentistry, where AI automatically evaluates images and assists dental professionals to diagnose and treat disease earlier.</w:t>
      </w:r>
      <w:r>
        <w:rPr>
          <w:rFonts w:ascii="Arial" w:hAnsi="Arial" w:hint="default"/>
          <w:rtl w:val="0"/>
        </w:rPr>
        <w:t>”</w:t>
      </w:r>
    </w:p>
    <w:p>
      <w:pPr>
        <w:pStyle w:val="Cuerpo A"/>
        <w:suppressAutoHyphens w:val="1"/>
        <w:jc w:val="both"/>
        <w:rPr>
          <w:rFonts w:ascii="Arial" w:cs="Arial" w:hAnsi="Arial" w:eastAsia="Arial"/>
        </w:rPr>
      </w:pPr>
    </w:p>
    <w:p>
      <w:pPr>
        <w:pStyle w:val="Cuerpo A"/>
        <w:suppressAutoHyphens w:val="1"/>
        <w:jc w:val="both"/>
        <w:rPr>
          <w:rStyle w:val="Ninguno"/>
          <w:rFonts w:ascii="Arial" w:cs="Arial" w:hAnsi="Arial" w:eastAsia="Arial"/>
          <w:sz w:val="26"/>
          <w:szCs w:val="26"/>
        </w:rPr>
      </w:pPr>
      <w:r>
        <w:rPr>
          <w:rStyle w:val="Ninguno"/>
          <w:rFonts w:ascii="Arial" w:hAnsi="Arial"/>
          <w:b w:val="1"/>
          <w:bCs w:val="1"/>
          <w:sz w:val="26"/>
          <w:szCs w:val="26"/>
          <w:rtl w:val="0"/>
          <w:lang w:val="en-US"/>
        </w:rPr>
        <w:t>EFP, global benchmark in periodontology</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The European Federation of Periodontology (EFP, </w:t>
      </w:r>
      <w:r>
        <w:rPr>
          <w:rStyle w:val="Hyperlink.0"/>
          <w:rFonts w:ascii="Arial" w:cs="Arial" w:hAnsi="Arial" w:eastAsia="Arial"/>
        </w:rPr>
        <w:fldChar w:fldCharType="begin" w:fldLock="0"/>
      </w:r>
      <w:r>
        <w:rPr>
          <w:rStyle w:val="Hyperlink.0"/>
          <w:rFonts w:ascii="Arial" w:cs="Arial" w:hAnsi="Arial" w:eastAsia="Arial"/>
        </w:rPr>
        <w:instrText xml:space="preserve"> HYPERLINK "http://ww.efp.org"</w:instrText>
      </w:r>
      <w:r>
        <w:rPr>
          <w:rStyle w:val="Hyperlink.0"/>
          <w:rFonts w:ascii="Arial" w:cs="Arial" w:hAnsi="Arial" w:eastAsia="Arial"/>
        </w:rPr>
        <w:fldChar w:fldCharType="separate" w:fldLock="0"/>
      </w:r>
      <w:r>
        <w:rPr>
          <w:rStyle w:val="Hyperlink.0"/>
          <w:rFonts w:ascii="Arial" w:hAnsi="Arial"/>
          <w:rtl w:val="0"/>
          <w:lang w:val="en-US"/>
        </w:rPr>
        <w:t>ww.efp.org</w:t>
      </w:r>
      <w:r>
        <w:rPr>
          <w:rFonts w:ascii="Arial" w:cs="Arial" w:hAnsi="Arial" w:eastAsia="Arial"/>
        </w:rPr>
        <w:fldChar w:fldCharType="end" w:fldLock="0"/>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 is a non-profit organisation dedicated to promoting awareness of periodontal science and the importance of gum health. Its guiding vision is </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periodontal health for a better life.</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p>
    <w:p>
      <w:pPr>
        <w:pStyle w:val="Normal (Web)"/>
        <w:suppressAutoHyphens w:val="1"/>
        <w:jc w:val="both"/>
        <w:rPr>
          <w:rFonts w:ascii="Arial" w:cs="Arial" w:hAnsi="Arial" w:eastAsia="Aria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Founded in 1991, the EFP is a federation of 37 national periodontal member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drawing xmlns:a="http://schemas.openxmlformats.org/drawingml/2006/main">
          <wp:anchor distT="0" distB="0" distL="0" distR="0" simplePos="0" relativeHeight="251660288" behindDoc="0" locked="0" layoutInCell="1" allowOverlap="1">
            <wp:simplePos x="0" y="0"/>
            <wp:positionH relativeFrom="page">
              <wp:posOffset>2472784</wp:posOffset>
            </wp:positionH>
            <wp:positionV relativeFrom="page">
              <wp:posOffset>93771</wp:posOffset>
            </wp:positionV>
            <wp:extent cx="3281489" cy="543978"/>
            <wp:effectExtent l="0" t="0" r="0" b="0"/>
            <wp:wrapSquare wrapText="bothSides" distL="0" distR="0" distT="0" distB="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organises EuroPerio, the world</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oral health during pregnancy.</w:t>
      </w:r>
    </w:p>
    <w:p>
      <w:pPr>
        <w:pStyle w:val="Normal (Web)"/>
        <w:suppressAutoHyphens w:val="1"/>
        <w:jc w:val="both"/>
        <w:rPr>
          <w:rFonts w:ascii="Arial" w:cs="Arial" w:hAnsi="Arial" w:eastAsia="Aria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 xml:space="preserve">s </w:t>
      </w:r>
      <w:r>
        <w:rPr>
          <w:rStyle w:val="Ninguno"/>
          <w:rFonts w:ascii="Arial" w:hAnsi="Arial"/>
          <w:i w:val="1"/>
          <w:iCs w:val="1"/>
          <w:outline w:val="0"/>
          <w:color w:val="000000"/>
          <w:rtl w:val="0"/>
          <w:lang w:val="en-US"/>
          <w14:textFill>
            <w14:solidFill>
              <w14:srgbClr w14:val="000000">
                <w14:alpha w14:val="9802"/>
              </w14:srgbClr>
            </w14:solidFill>
          </w14:textFill>
        </w:rPr>
        <w:t>Journal of Clinical Periodontology</w:t>
      </w:r>
      <w:r>
        <w:rPr>
          <w:rStyle w:val="Ninguno"/>
          <w:rFonts w:ascii="Arial" w:hAnsi="Arial"/>
          <w:outline w:val="0"/>
          <w:color w:val="000000"/>
          <w:rtl w:val="0"/>
          <w:lang w:val="en-US"/>
          <w14:textFill>
            <w14:solidFill>
              <w14:srgbClr w14:val="000000">
                <w14:alpha w14:val="9802"/>
              </w14:srgbClr>
            </w14:solidFill>
          </w14:textFill>
        </w:rPr>
        <w:t xml:space="preserve"> is the most authoritative scientific publication in this field. The federation also publishes </w:t>
      </w:r>
      <w:r>
        <w:rPr>
          <w:rStyle w:val="Ninguno"/>
          <w:rFonts w:ascii="Arial" w:hAnsi="Arial"/>
          <w:i w:val="1"/>
          <w:iCs w:val="1"/>
          <w:outline w:val="0"/>
          <w:color w:val="000000"/>
          <w:rtl w:val="0"/>
          <w:lang w:val="en-US"/>
          <w14:textFill>
            <w14:solidFill>
              <w14:srgbClr w14:val="000000">
                <w14:alpha w14:val="9802"/>
              </w14:srgbClr>
            </w14:solidFill>
          </w14:textFill>
        </w:rPr>
        <w:t>JCP Digest</w:t>
      </w:r>
      <w:r>
        <w:rPr>
          <w:rStyle w:val="Ninguno"/>
          <w:rFonts w:ascii="Arial" w:hAnsi="Arial"/>
          <w:outline w:val="0"/>
          <w:color w:val="000000"/>
          <w:rtl w:val="0"/>
          <w:lang w:val="en-US"/>
          <w14:textFill>
            <w14:solidFill>
              <w14:srgbClr w14:val="000000">
                <w14:alpha w14:val="9802"/>
              </w14:srgbClr>
            </w14:solidFill>
          </w14:textFill>
        </w:rPr>
        <w:t xml:space="preserve">, a monthly digest of research, and the </w:t>
      </w:r>
      <w:r>
        <w:rPr>
          <w:rStyle w:val="Ninguno"/>
          <w:rFonts w:ascii="Arial" w:hAnsi="Arial"/>
          <w:i w:val="1"/>
          <w:iCs w:val="1"/>
          <w:outline w:val="0"/>
          <w:color w:val="000000"/>
          <w:rtl w:val="0"/>
          <w:lang w:val="en-US"/>
          <w14:textFill>
            <w14:solidFill>
              <w14:srgbClr w14:val="000000">
                <w14:alpha w14:val="9802"/>
              </w14:srgbClr>
            </w14:solidFill>
          </w14:textFill>
        </w:rPr>
        <w:t>Perio Insight</w:t>
      </w:r>
      <w:r>
        <w:rPr>
          <w:rStyle w:val="Ninguno"/>
          <w:rFonts w:ascii="Arial" w:hAnsi="Arial"/>
          <w:outline w:val="0"/>
          <w:color w:val="000000"/>
          <w:rtl w:val="0"/>
          <w:lang w:val="en-US"/>
          <w14:textFill>
            <w14:solidFill>
              <w14:srgbClr w14:val="000000">
                <w14:alpha w14:val="9802"/>
              </w14:srgbClr>
            </w14:solidFill>
          </w14:textFill>
        </w:rPr>
        <w:t xml:space="preserve"> magazine, which features experts' views and debates.</w:t>
      </w:r>
    </w:p>
    <w:p>
      <w:pPr>
        <w:pStyle w:val="Normal (Web)"/>
        <w:suppressAutoHyphens w:val="1"/>
        <w:jc w:val="both"/>
        <w:rPr>
          <w:rStyle w:val="Ninguno"/>
          <w:rFonts w:ascii="Arial" w:cs="Arial" w:hAnsi="Arial" w:eastAsia="Arial"/>
          <w:outline w:val="0"/>
          <w:color w:val="000000"/>
          <w14:textFill>
            <w14:solidFill>
              <w14:srgbClr w14:val="000000">
                <w14:alpha w14:val="9802"/>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work in education is also highly significant, notably its accreditation programme for postgraduate education in periodontology and implant dentistry.</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has no professional or commercial agenda.</w:t>
      </w:r>
    </w:p>
    <w:p>
      <w:pPr>
        <w:pStyle w:val="Normal (Web)"/>
        <w:suppressAutoHyphens w:val="1"/>
        <w:jc w:val="both"/>
        <w:rPr>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p>
    <w:p>
      <w:pPr>
        <w:pStyle w:val="Normal (Web)"/>
        <w:suppressAutoHyphens w:val="1"/>
        <w:jc w:val="both"/>
        <w:rPr>
          <w:rStyle w:val="Ninguno"/>
          <w:rFonts w:ascii="Arial" w:cs="Arial" w:hAnsi="Arial" w:eastAsia="Arial"/>
          <w:b w:val="1"/>
          <w:bCs w:val="1"/>
          <w:sz w:val="26"/>
          <w:szCs w:val="26"/>
        </w:rPr>
      </w:pPr>
      <w:r>
        <w:rPr>
          <w:rStyle w:val="Ninguno"/>
          <w:rFonts w:ascii="Arial" w:hAnsi="Arial"/>
          <w:b w:val="1"/>
          <w:bCs w:val="1"/>
          <w:sz w:val="26"/>
          <w:szCs w:val="26"/>
          <w:rtl w:val="0"/>
          <w:lang w:val="es-ES_tradnl"/>
        </w:rPr>
        <w:t>Reference</w:t>
      </w:r>
      <w:r>
        <w:rPr>
          <w:rStyle w:val="Ninguno"/>
          <w:rFonts w:ascii="Arial" w:hAnsi="Arial"/>
          <w:b w:val="1"/>
          <w:bCs w:val="1"/>
          <w:sz w:val="26"/>
          <w:szCs w:val="26"/>
          <w:rtl w:val="0"/>
          <w:lang w:val="en-US"/>
        </w:rPr>
        <w:t>s</w:t>
      </w:r>
    </w:p>
    <w:p>
      <w:pPr>
        <w:pStyle w:val="Cuerpo"/>
        <w:widowControl w:val="0"/>
        <w:numPr>
          <w:ilvl w:val="0"/>
          <w:numId w:val="2"/>
        </w:numPr>
        <w:jc w:val="both"/>
        <w:rPr>
          <w:rFonts w:ascii="Arial" w:hAnsi="Arial"/>
          <w:lang w:val="en-US"/>
        </w:rPr>
      </w:pPr>
      <w:r>
        <w:rPr>
          <w:rFonts w:ascii="Arial" w:hAnsi="Arial"/>
          <w:rtl w:val="0"/>
          <w:lang w:val="en-US"/>
        </w:rPr>
        <w:t xml:space="preserve">The abstract </w:t>
      </w:r>
      <w:r>
        <w:rPr>
          <w:rFonts w:ascii="Arial" w:hAnsi="Arial" w:hint="default"/>
          <w:rtl w:val="1"/>
          <w:lang w:val="ar-SA" w:bidi="ar-SA"/>
        </w:rPr>
        <w:t>“</w:t>
      </w:r>
      <w:r>
        <w:rPr>
          <w:rFonts w:ascii="Arial" w:hAnsi="Arial"/>
          <w:rtl w:val="0"/>
          <w:lang w:val="en-US"/>
        </w:rPr>
        <w:t>Detecting periodontal bone loss with an artificial intelligence approach on dental bitewing radiographs</w:t>
      </w:r>
      <w:r>
        <w:rPr>
          <w:rFonts w:ascii="Arial" w:hAnsi="Arial" w:hint="default"/>
          <w:rtl w:val="0"/>
        </w:rPr>
        <w:t xml:space="preserve">” </w:t>
      </w:r>
      <w:r>
        <w:rPr>
          <w:rFonts w:ascii="Arial" w:hAnsi="Arial"/>
          <w:rtl w:val="0"/>
        </w:rPr>
        <w:t>w</w:t>
      </w:r>
      <w:r>
        <w:rPr>
          <w:rFonts w:ascii="Arial" w:hAnsi="Arial"/>
          <w:rtl w:val="0"/>
          <w:lang w:val="es-ES_tradnl"/>
        </w:rPr>
        <w:t>as</w:t>
      </w:r>
      <w:r>
        <w:rPr>
          <w:rFonts w:ascii="Arial" w:hAnsi="Arial"/>
          <w:rtl w:val="0"/>
          <w:lang w:val="en-US"/>
        </w:rPr>
        <w:t xml:space="preserve"> presented during the session </w:t>
      </w:r>
      <w:r>
        <w:rPr>
          <w:rFonts w:ascii="Arial" w:hAnsi="Arial" w:hint="default"/>
          <w:rtl w:val="1"/>
          <w:lang w:val="ar-SA" w:bidi="ar-SA"/>
        </w:rPr>
        <w:t>“</w:t>
      </w:r>
      <w:r>
        <w:rPr>
          <w:rFonts w:ascii="Arial" w:hAnsi="Arial"/>
          <w:rtl w:val="0"/>
          <w:lang w:val="en-US"/>
        </w:rPr>
        <w:t>Periodontal diagnosis and disease progression</w:t>
      </w:r>
      <w:r>
        <w:rPr>
          <w:rFonts w:ascii="Arial" w:hAnsi="Arial" w:hint="default"/>
          <w:rtl w:val="0"/>
        </w:rPr>
        <w:t xml:space="preserve">” </w:t>
      </w:r>
      <w:r>
        <w:rPr>
          <w:rFonts w:ascii="Arial" w:hAnsi="Arial"/>
          <w:rtl w:val="0"/>
          <w:lang w:val="en-US"/>
        </w:rPr>
        <w:t>which t</w:t>
      </w:r>
      <w:r>
        <w:rPr>
          <w:rFonts w:ascii="Arial" w:hAnsi="Arial"/>
          <w:rtl w:val="0"/>
          <w:lang w:val="es-ES_tradnl"/>
        </w:rPr>
        <w:t>ook</w:t>
      </w:r>
      <w:r>
        <w:rPr>
          <w:rFonts w:ascii="Arial" w:hAnsi="Arial"/>
          <w:rtl w:val="0"/>
          <w:lang w:val="en-US"/>
        </w:rPr>
        <w:t xml:space="preserve"> place on 16 June at 14:30 CEST in Break Out 2.</w:t>
      </w:r>
    </w:p>
    <w:p>
      <w:pPr>
        <w:pStyle w:val="Cuerpo"/>
        <w:widowControl w:val="0"/>
        <w:jc w:val="both"/>
        <w:rPr>
          <w:rFonts w:ascii="Arial" w:cs="Arial" w:hAnsi="Arial" w:eastAsia="Arial"/>
        </w:rPr>
      </w:pPr>
    </w:p>
    <w:p>
      <w:pPr>
        <w:pStyle w:val="Cuerpo"/>
        <w:widowControl w:val="0"/>
        <w:jc w:val="both"/>
        <w:rPr>
          <w:rStyle w:val="Ninguno"/>
          <w:rFonts w:ascii="Arial" w:cs="Arial" w:hAnsi="Arial" w:eastAsia="Arial"/>
          <w:b w:val="1"/>
          <w:bCs w:val="1"/>
          <w:sz w:val="22"/>
          <w:szCs w:val="22"/>
        </w:rPr>
      </w:pPr>
      <w:r>
        <w:rPr>
          <w:rStyle w:val="Ninguno"/>
          <w:rFonts w:ascii="Arial" w:hAnsi="Arial"/>
          <w:b w:val="1"/>
          <w:bCs w:val="1"/>
          <w:rtl w:val="0"/>
          <w:lang w:val="de-DE"/>
        </w:rPr>
        <w:t>ENDS</w:t>
      </w:r>
    </w:p>
    <w:p>
      <w:pPr>
        <w:pStyle w:val="Cuerpo"/>
        <w:widowControl w:val="0"/>
        <w:jc w:val="both"/>
        <w:rPr>
          <w:rStyle w:val="Ninguno"/>
          <w:rFonts w:ascii="Arial" w:cs="Arial" w:hAnsi="Arial" w:eastAsia="Arial"/>
          <w:b w:val="1"/>
          <w:bCs w:val="1"/>
          <w:sz w:val="22"/>
          <w:szCs w:val="22"/>
        </w:rPr>
      </w:pPr>
    </w:p>
    <w:p>
      <w:pPr>
        <w:pStyle w:val="Cuerpo"/>
        <w:widowControl w:val="0"/>
        <w:jc w:val="both"/>
        <w:rPr>
          <w:rStyle w:val="Ninguno"/>
          <w:rFonts w:ascii="Arial" w:cs="Arial" w:hAnsi="Arial" w:eastAsia="Arial"/>
          <w:b w:val="1"/>
          <w:bCs w:val="1"/>
          <w:sz w:val="22"/>
          <w:szCs w:val="22"/>
        </w:rPr>
      </w:pPr>
    </w:p>
    <w:p>
      <w:pPr>
        <w:pStyle w:val="Cuerpo"/>
        <w:widowControl w:val="0"/>
        <w:jc w:val="both"/>
        <w:rPr>
          <w:rFonts w:ascii="Arial" w:cs="Arial" w:hAnsi="Arial" w:eastAsia="Arial"/>
          <w:b w:val="1"/>
          <w:bCs w:val="1"/>
          <w:sz w:val="22"/>
          <w:szCs w:val="22"/>
        </w:rPr>
      </w:pPr>
    </w:p>
    <w:p>
      <w:pPr>
        <w:pStyle w:val="Cuerpo"/>
        <w:widowControl w:val="0"/>
        <w:jc w:val="both"/>
        <w:rPr>
          <w:rFonts w:ascii="Arial" w:cs="Arial" w:hAnsi="Arial" w:eastAsia="Arial"/>
          <w:sz w:val="26"/>
          <w:szCs w:val="26"/>
        </w:rPr>
      </w:pPr>
      <w:r>
        <w:rPr>
          <w:rStyle w:val="Ninguno"/>
          <w:rFonts w:ascii="Arial" w:hAnsi="Arial"/>
          <w:b w:val="1"/>
          <w:bCs w:val="1"/>
          <w:sz w:val="26"/>
          <w:szCs w:val="26"/>
          <w:rtl w:val="0"/>
          <w:lang w:val="en-US"/>
        </w:rPr>
        <w:t xml:space="preserve">Notes for </w:t>
      </w:r>
      <w:r>
        <w:rPr>
          <w:rStyle w:val="Ninguno"/>
          <w:rFonts w:ascii="Arial" w:hAnsi="Arial"/>
          <w:b w:val="1"/>
          <w:bCs w:val="1"/>
          <w:sz w:val="26"/>
          <w:szCs w:val="26"/>
          <w:rtl w:val="0"/>
          <w:lang w:val="es-ES_tradnl"/>
        </w:rPr>
        <w:t>e</w:t>
      </w:r>
      <w:r>
        <w:rPr>
          <w:rStyle w:val="Ninguno"/>
          <w:rFonts w:ascii="Arial" w:hAnsi="Arial"/>
          <w:b w:val="1"/>
          <w:bCs w:val="1"/>
          <w:sz w:val="26"/>
          <w:szCs w:val="26"/>
          <w:rtl w:val="0"/>
          <w:lang w:val="en-US"/>
        </w:rPr>
        <w:t>ditors</w:t>
      </w:r>
    </w:p>
    <w:p>
      <w:pPr>
        <w:pStyle w:val="Cuerpo"/>
        <w:widowControl w:val="0"/>
        <w:jc w:val="both"/>
        <w:rPr>
          <w:rFonts w:ascii="Arial" w:cs="Arial" w:hAnsi="Arial" w:eastAsia="Arial"/>
        </w:rPr>
      </w:pPr>
      <w:r>
        <w:rPr>
          <w:rStyle w:val="Ninguno"/>
          <w:rFonts w:ascii="Arial" w:hAnsi="Arial"/>
          <w:b w:val="1"/>
          <w:bCs w:val="1"/>
          <w:rtl w:val="0"/>
          <w:lang w:val="en-US"/>
        </w:rPr>
        <w:t xml:space="preserve">Funding: </w:t>
      </w:r>
      <w:r>
        <w:rPr>
          <w:rFonts w:ascii="Arial" w:hAnsi="Arial"/>
          <w:rtl w:val="0"/>
          <w:lang w:val="en-US"/>
        </w:rPr>
        <w:t>This work was supported by the Eskisehir Osmangazi University Scientific Research Projects Coordination Unit under grant number 202045E06.</w:t>
      </w:r>
    </w:p>
    <w:p>
      <w:pPr>
        <w:pStyle w:val="Cuerpo"/>
        <w:widowControl w:val="0"/>
        <w:jc w:val="both"/>
        <w:rPr>
          <w:rFonts w:ascii="Arial" w:cs="Arial" w:hAnsi="Arial" w:eastAsia="Arial"/>
        </w:rPr>
      </w:pPr>
    </w:p>
    <w:p>
      <w:pPr>
        <w:pStyle w:val="Cuerpo"/>
        <w:widowControl w:val="0"/>
        <w:jc w:val="both"/>
        <w:rPr>
          <w:rStyle w:val="Ninguno"/>
          <w:rFonts w:ascii="Arial" w:cs="Arial" w:hAnsi="Arial" w:eastAsia="Arial"/>
          <w:sz w:val="22"/>
          <w:szCs w:val="22"/>
        </w:rPr>
      </w:pPr>
      <w:r>
        <w:rPr>
          <w:rStyle w:val="Ninguno"/>
          <w:rFonts w:ascii="Arial" w:hAnsi="Arial"/>
          <w:b w:val="1"/>
          <w:bCs w:val="1"/>
          <w:rtl w:val="0"/>
          <w:lang w:val="fr-FR"/>
        </w:rPr>
        <w:t xml:space="preserve">Disclosures: </w:t>
      </w:r>
      <w:r>
        <w:rPr>
          <w:rFonts w:ascii="Arial" w:hAnsi="Arial"/>
          <w:rtl w:val="0"/>
          <w:lang w:val="it-IT"/>
        </w:rPr>
        <w:t>None.</w:t>
      </w:r>
    </w:p>
    <w:p>
      <w:pPr>
        <w:pStyle w:val="Cuerpo"/>
        <w:widowControl w:val="0"/>
        <w:jc w:val="both"/>
        <w:rPr>
          <w:rFonts w:ascii="Arial" w:cs="Arial" w:hAnsi="Arial" w:eastAsia="Arial"/>
        </w:rPr>
      </w:pPr>
    </w:p>
    <w:p>
      <w:pPr>
        <w:pStyle w:val="Cuerpo A"/>
        <w:suppressAutoHyphens w:val="1"/>
        <w:jc w:val="both"/>
        <w:rPr>
          <w:rStyle w:val="Ninguno"/>
          <w:rFonts w:ascii="Arial" w:cs="Arial" w:hAnsi="Arial" w:eastAsia="Arial"/>
          <w:b w:val="1"/>
          <w:bCs w:val="1"/>
          <w:sz w:val="24"/>
          <w:szCs w:val="24"/>
          <w:u w:color="ff2d21"/>
        </w:rPr>
      </w:pPr>
      <w:r>
        <w:rPr>
          <w:rStyle w:val="Ninguno"/>
          <w:rFonts w:ascii="Arial" w:hAnsi="Arial"/>
          <w:b w:val="1"/>
          <w:bCs w:val="1"/>
          <w:sz w:val="24"/>
          <w:szCs w:val="24"/>
          <w:u w:color="ff2d21"/>
          <w:rtl w:val="0"/>
          <w:lang w:val="es-ES_tradnl"/>
        </w:rPr>
        <w:t>Mo</w:t>
      </w:r>
      <w:r>
        <w:rPr>
          <w:rStyle w:val="Ninguno"/>
          <w:rFonts w:ascii="Arial" w:hAnsi="Arial"/>
          <w:b w:val="1"/>
          <w:bCs w:val="1"/>
          <w:sz w:val="24"/>
          <w:szCs w:val="24"/>
          <w:u w:color="ff2d21"/>
          <w:rtl w:val="0"/>
          <w:lang w:val="en-US"/>
        </w:rPr>
        <w:t xml:space="preserve">re information: </w:t>
      </w:r>
    </w:p>
    <w:p>
      <w:pPr>
        <w:pStyle w:val="Cuerpo A"/>
        <w:suppressAutoHyphens w:val="1"/>
        <w:jc w:val="both"/>
        <w:rPr>
          <w:rFonts w:ascii="Arial" w:cs="Arial" w:hAnsi="Arial" w:eastAsia="Arial"/>
        </w:rPr>
      </w:pPr>
      <w:r>
        <w:rPr>
          <w:rStyle w:val="Ninguno"/>
          <w:rFonts w:ascii="Arial" w:hAnsi="Arial"/>
          <w:b w:val="1"/>
          <w:bCs w:val="1"/>
          <w:sz w:val="24"/>
          <w:szCs w:val="24"/>
          <w:u w:color="ff2d21"/>
          <w:rtl w:val="0"/>
          <w:lang w:val="en-US"/>
        </w:rPr>
        <w:t xml:space="preserve">EFP press team at </w:t>
      </w:r>
      <w:r>
        <w:rPr>
          <w:rStyle w:val="Hyperlink.1"/>
          <w:rFonts w:ascii="Arial" w:cs="Arial" w:hAnsi="Arial" w:eastAsia="Arial"/>
        </w:rPr>
        <w:fldChar w:fldCharType="begin" w:fldLock="0"/>
      </w:r>
      <w:r>
        <w:rPr>
          <w:rStyle w:val="Hyperlink.1"/>
          <w:rFonts w:ascii="Arial" w:cs="Arial" w:hAnsi="Arial" w:eastAsia="Arial"/>
        </w:rPr>
        <w:instrText xml:space="preserve"> HYPERLINK "mailto:press@efp.org"</w:instrText>
      </w:r>
      <w:r>
        <w:rPr>
          <w:rStyle w:val="Hyperlink.1"/>
          <w:rFonts w:ascii="Arial" w:cs="Arial" w:hAnsi="Arial" w:eastAsia="Arial"/>
        </w:rPr>
        <w:fldChar w:fldCharType="separate" w:fldLock="0"/>
      </w:r>
      <w:r>
        <w:rPr>
          <w:rStyle w:val="Hyperlink.1"/>
          <w:rFonts w:ascii="Arial" w:hAnsi="Arial"/>
          <w:rtl w:val="0"/>
          <w:lang w:val="en-US"/>
        </w:rPr>
        <w:t>press@efp.org</w:t>
      </w:r>
      <w:r>
        <w:rPr>
          <w:rFonts w:ascii="Arial" w:cs="Arial" w:hAnsi="Arial" w:eastAsia="Arial"/>
        </w:rPr>
        <w:fldChar w:fldCharType="end" w:fldLock="0"/>
      </w:r>
    </w:p>
    <w:p>
      <w:pPr>
        <w:pStyle w:val="Cuerpo A"/>
        <w:suppressAutoHyphens w:val="1"/>
        <w:jc w:val="both"/>
      </w:pPr>
      <w:r>
        <w:rPr>
          <w:rFonts w:ascii="Arial" w:cs="Arial" w:hAnsi="Arial" w:eastAsia="Arial"/>
        </w:rPr>
      </w:r>
    </w:p>
    <w:sectPr>
      <w:headerReference w:type="default" r:id="rId5"/>
      <w:footerReference w:type="default" r:id="rId6"/>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ra"/>
  </w:abstractNum>
  <w:abstractNum w:abstractNumId="1">
    <w:multiLevelType w:val="hybridMultilevel"/>
    <w:styleLink w:val="Letra"/>
    <w:lvl w:ilvl="0">
      <w:start w:val="1"/>
      <w:numFmt w:val="decimal"/>
      <w:suff w:val="tab"/>
      <w:lvlText w:val="%1)"/>
      <w:lvlJc w:val="left"/>
      <w:pPr>
        <w:ind w:left="316" w:hanging="31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character" w:styleId="Ninguno">
    <w:name w:val="Ninguno"/>
    <w:rPr>
      <w:lang w:val="es-ES_tradn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Cuerpo">
    <w:name w:val="Cuerpo"/>
    <w:next w:val="Cue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character" w:styleId="Hyperlink.0">
    <w:name w:val="Hyperlink.0"/>
    <w:basedOn w:val="Ninguno"/>
    <w:next w:val="Hyperlink.0"/>
    <w:rPr>
      <w:outline w:val="0"/>
      <w:color w:val="0000ff"/>
      <w:u w:val="single" w:color="0000ff"/>
      <w14:textFill>
        <w14:solidFill>
          <w14:srgbClr w14:val="0000FF"/>
        </w14:solidFill>
      </w14:textFill>
    </w:rPr>
  </w:style>
  <w:style w:type="numbering" w:styleId="Letra">
    <w:name w:val="Letra"/>
    <w:pPr>
      <w:numPr>
        <w:numId w:val="1"/>
      </w:numPr>
    </w:pPr>
  </w:style>
  <w:style w:type="character" w:styleId="Hyperlink.1">
    <w:name w:val="Hyperlink.1"/>
    <w:basedOn w:val="Ninguno"/>
    <w:next w:val="Hyperlink.1"/>
    <w:rPr>
      <w:outline w:val="0"/>
      <w:color w:val="0000ff"/>
      <w:sz w:val="24"/>
      <w:szCs w:val="24"/>
      <w:u w:val="single" w:color="0000ff"/>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